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B3D68">
      <w:pPr>
        <w:pStyle w:val="25"/>
        <w:rPr>
          <w:rFonts w:hint="default"/>
          <w:lang w:eastAsia="zh-CN"/>
        </w:rPr>
      </w:pPr>
    </w:p>
    <w:p w14:paraId="2AA0A022">
      <w:pPr>
        <w:pStyle w:val="25"/>
        <w:rPr>
          <w:rFonts w:hint="default"/>
          <w:lang w:eastAsia="zh-CN"/>
        </w:rPr>
      </w:pPr>
    </w:p>
    <w:p w14:paraId="3D731DA0">
      <w:pPr>
        <w:pStyle w:val="25"/>
        <w:rPr>
          <w:rFonts w:hint="default"/>
          <w:lang w:eastAsia="zh-CN"/>
        </w:rPr>
      </w:pPr>
    </w:p>
    <w:p w14:paraId="75B5689E">
      <w:pPr>
        <w:pStyle w:val="25"/>
        <w:rPr>
          <w:rFonts w:hint="default"/>
          <w:lang w:eastAsia="zh-CN"/>
        </w:rPr>
      </w:pPr>
    </w:p>
    <w:p w14:paraId="448D6557">
      <w:pPr>
        <w:pStyle w:val="25"/>
        <w:rPr>
          <w:rFonts w:hint="default"/>
          <w:lang w:eastAsia="zh-CN"/>
        </w:rPr>
      </w:pPr>
    </w:p>
    <w:p w14:paraId="26C837A2">
      <w:pPr>
        <w:pStyle w:val="25"/>
        <w:rPr>
          <w:rFonts w:hint="default"/>
          <w:lang w:eastAsia="zh-CN"/>
        </w:rPr>
      </w:pPr>
    </w:p>
    <w:p w14:paraId="3BEF69A7">
      <w:pPr>
        <w:pStyle w:val="25"/>
        <w:outlineLvl w:val="0"/>
        <w:rPr>
          <w:rFonts w:hint="default"/>
          <w:b/>
          <w:sz w:val="48"/>
        </w:rPr>
      </w:pPr>
    </w:p>
    <w:p w14:paraId="1681CA29">
      <w:pPr>
        <w:pStyle w:val="25"/>
        <w:outlineLvl w:val="0"/>
        <w:rPr>
          <w:rFonts w:hint="default"/>
          <w:b/>
          <w:sz w:val="48"/>
        </w:rPr>
      </w:pPr>
    </w:p>
    <w:p w14:paraId="4B7D30D7">
      <w:pPr>
        <w:pStyle w:val="25"/>
        <w:outlineLvl w:val="0"/>
        <w:rPr>
          <w:rFonts w:hint="default"/>
          <w:b/>
          <w:sz w:val="48"/>
        </w:rPr>
      </w:pPr>
    </w:p>
    <w:p w14:paraId="1176ED31">
      <w:pPr>
        <w:pStyle w:val="25"/>
        <w:outlineLvl w:val="0"/>
        <w:rPr>
          <w:rFonts w:hint="default"/>
          <w:b/>
          <w:sz w:val="48"/>
          <w:lang w:eastAsia="zh-CN"/>
        </w:rPr>
      </w:pPr>
      <w:r>
        <w:rPr>
          <w:b/>
          <w:sz w:val="48"/>
        </w:rPr>
        <w:t xml:space="preserve"> </w:t>
      </w:r>
      <w:r>
        <w:rPr>
          <w:b/>
          <w:sz w:val="48"/>
          <w:lang w:eastAsia="zh-CN"/>
        </w:rPr>
        <w:t xml:space="preserve">          </w:t>
      </w:r>
      <w:bookmarkStart w:id="0" w:name="_Toc17316"/>
      <w:r>
        <w:rPr>
          <w:b/>
          <w:sz w:val="48"/>
        </w:rPr>
        <w:t>公开招标文件</w:t>
      </w:r>
      <w:bookmarkEnd w:id="0"/>
    </w:p>
    <w:p w14:paraId="77BF11C9">
      <w:pPr>
        <w:pStyle w:val="25"/>
        <w:outlineLvl w:val="0"/>
        <w:rPr>
          <w:rFonts w:hint="default"/>
          <w:b/>
          <w:sz w:val="48"/>
          <w:lang w:eastAsia="zh-CN"/>
        </w:rPr>
      </w:pPr>
    </w:p>
    <w:p w14:paraId="5EA6A7DC">
      <w:pPr>
        <w:pStyle w:val="25"/>
        <w:outlineLvl w:val="0"/>
        <w:rPr>
          <w:rFonts w:hint="default"/>
          <w:lang w:eastAsia="zh-CN"/>
        </w:rPr>
      </w:pPr>
    </w:p>
    <w:p w14:paraId="1F2650C8">
      <w:pPr>
        <w:pStyle w:val="25"/>
        <w:outlineLvl w:val="0"/>
        <w:rPr>
          <w:rFonts w:hint="default"/>
          <w:lang w:eastAsia="zh-CN"/>
        </w:rPr>
      </w:pPr>
    </w:p>
    <w:p w14:paraId="5A0AB704">
      <w:pPr>
        <w:pStyle w:val="25"/>
        <w:outlineLvl w:val="0"/>
        <w:rPr>
          <w:rFonts w:hint="default"/>
          <w:lang w:eastAsia="zh-CN"/>
        </w:rPr>
      </w:pPr>
    </w:p>
    <w:p w14:paraId="037CD89B">
      <w:pPr>
        <w:pStyle w:val="25"/>
        <w:outlineLvl w:val="0"/>
        <w:rPr>
          <w:rFonts w:hint="default"/>
          <w:lang w:eastAsia="zh-CN"/>
        </w:rPr>
      </w:pPr>
    </w:p>
    <w:p w14:paraId="3CD23229">
      <w:pPr>
        <w:pStyle w:val="25"/>
        <w:outlineLvl w:val="0"/>
        <w:rPr>
          <w:rFonts w:hint="default"/>
          <w:lang w:eastAsia="zh-CN"/>
        </w:rPr>
      </w:pPr>
    </w:p>
    <w:p w14:paraId="55764661">
      <w:pPr>
        <w:pStyle w:val="25"/>
        <w:outlineLvl w:val="0"/>
        <w:rPr>
          <w:rFonts w:hint="default"/>
          <w:lang w:eastAsia="zh-CN"/>
        </w:rPr>
      </w:pPr>
    </w:p>
    <w:p w14:paraId="22EC344F">
      <w:pPr>
        <w:pStyle w:val="25"/>
        <w:outlineLvl w:val="0"/>
        <w:rPr>
          <w:rFonts w:hint="default"/>
          <w:lang w:eastAsia="zh-CN"/>
        </w:rPr>
      </w:pPr>
    </w:p>
    <w:p w14:paraId="5BEFF035">
      <w:pPr>
        <w:pStyle w:val="25"/>
        <w:outlineLvl w:val="0"/>
        <w:rPr>
          <w:rFonts w:hint="default"/>
          <w:lang w:eastAsia="zh-CN"/>
        </w:rPr>
      </w:pPr>
    </w:p>
    <w:p w14:paraId="61120AAD">
      <w:pPr>
        <w:pStyle w:val="25"/>
        <w:outlineLvl w:val="0"/>
        <w:rPr>
          <w:rFonts w:hint="default"/>
          <w:lang w:eastAsia="zh-CN"/>
        </w:rPr>
      </w:pPr>
    </w:p>
    <w:p w14:paraId="552EE8D8">
      <w:pPr>
        <w:pStyle w:val="25"/>
        <w:outlineLvl w:val="0"/>
        <w:rPr>
          <w:rFonts w:hint="default"/>
          <w:lang w:eastAsia="zh-CN"/>
        </w:rPr>
      </w:pPr>
    </w:p>
    <w:p w14:paraId="08739638">
      <w:pPr>
        <w:pStyle w:val="25"/>
        <w:outlineLvl w:val="0"/>
        <w:rPr>
          <w:rFonts w:hint="default"/>
          <w:lang w:eastAsia="zh-CN"/>
        </w:rPr>
      </w:pPr>
    </w:p>
    <w:p w14:paraId="311015E4">
      <w:pPr>
        <w:pStyle w:val="25"/>
        <w:outlineLvl w:val="0"/>
        <w:rPr>
          <w:rFonts w:hint="default"/>
          <w:lang w:eastAsia="zh-CN"/>
        </w:rPr>
      </w:pPr>
    </w:p>
    <w:p w14:paraId="75AAB915">
      <w:pPr>
        <w:pStyle w:val="25"/>
        <w:outlineLvl w:val="0"/>
        <w:rPr>
          <w:rFonts w:hint="default"/>
          <w:lang w:eastAsia="zh-CN"/>
        </w:rPr>
      </w:pPr>
    </w:p>
    <w:p w14:paraId="3FA9AEF5">
      <w:pPr>
        <w:pStyle w:val="25"/>
        <w:outlineLvl w:val="0"/>
        <w:rPr>
          <w:rFonts w:hint="default"/>
          <w:lang w:eastAsia="zh-CN"/>
        </w:rPr>
      </w:pPr>
    </w:p>
    <w:p w14:paraId="2F89473D">
      <w:pPr>
        <w:pStyle w:val="25"/>
        <w:outlineLvl w:val="0"/>
        <w:rPr>
          <w:rFonts w:hint="default"/>
          <w:lang w:eastAsia="zh-CN"/>
        </w:rPr>
      </w:pPr>
    </w:p>
    <w:p w14:paraId="381B8487">
      <w:pPr>
        <w:pStyle w:val="25"/>
        <w:outlineLvl w:val="0"/>
        <w:rPr>
          <w:rFonts w:hint="default"/>
          <w:lang w:eastAsia="zh-CN"/>
        </w:rPr>
      </w:pPr>
    </w:p>
    <w:p w14:paraId="1E76D1DA">
      <w:pPr>
        <w:pStyle w:val="25"/>
        <w:outlineLvl w:val="0"/>
        <w:rPr>
          <w:rFonts w:hint="default"/>
          <w:lang w:eastAsia="zh-CN"/>
        </w:rPr>
      </w:pPr>
    </w:p>
    <w:p w14:paraId="7D4B368B">
      <w:pPr>
        <w:pStyle w:val="25"/>
        <w:outlineLvl w:val="0"/>
        <w:rPr>
          <w:rFonts w:hint="default"/>
          <w:lang w:eastAsia="zh-CN"/>
        </w:rPr>
      </w:pPr>
    </w:p>
    <w:p w14:paraId="714CF54D">
      <w:pPr>
        <w:pStyle w:val="25"/>
        <w:outlineLvl w:val="0"/>
        <w:rPr>
          <w:rFonts w:hint="default"/>
          <w:lang w:eastAsia="zh-CN"/>
        </w:rPr>
      </w:pPr>
    </w:p>
    <w:p w14:paraId="59A5CF34">
      <w:pPr>
        <w:pStyle w:val="25"/>
        <w:outlineLvl w:val="0"/>
        <w:rPr>
          <w:rFonts w:hint="default"/>
          <w:lang w:eastAsia="zh-CN"/>
        </w:rPr>
      </w:pPr>
    </w:p>
    <w:p w14:paraId="7429D996">
      <w:pPr>
        <w:pStyle w:val="25"/>
        <w:jc w:val="center"/>
        <w:outlineLvl w:val="3"/>
        <w:rPr>
          <w:rFonts w:hint="default"/>
          <w:lang w:eastAsia="zh-CN"/>
        </w:rPr>
      </w:pPr>
    </w:p>
    <w:p w14:paraId="2141EC3B">
      <w:pPr>
        <w:pStyle w:val="25"/>
        <w:jc w:val="center"/>
        <w:outlineLvl w:val="3"/>
        <w:rPr>
          <w:rFonts w:hint="default"/>
          <w:lang w:eastAsia="zh-CN"/>
        </w:rPr>
      </w:pPr>
      <w:r>
        <w:rPr>
          <w:b/>
          <w:sz w:val="24"/>
        </w:rPr>
        <w:t>采购项目编号：</w:t>
      </w:r>
      <w:r>
        <w:rPr>
          <w:b/>
          <w:sz w:val="24"/>
          <w:lang w:eastAsia="zh-CN"/>
        </w:rPr>
        <w:t>HZZH2026021</w:t>
      </w:r>
    </w:p>
    <w:p w14:paraId="398006F8">
      <w:pPr>
        <w:jc w:val="center"/>
        <w:rPr>
          <w:b/>
          <w:sz w:val="24"/>
        </w:rPr>
      </w:pPr>
      <w:r>
        <w:rPr>
          <w:rFonts w:hint="eastAsia"/>
          <w:b/>
          <w:sz w:val="24"/>
        </w:rPr>
        <w:t>采购项目名称</w:t>
      </w:r>
      <w:r>
        <w:rPr>
          <w:b/>
          <w:sz w:val="24"/>
        </w:rPr>
        <w:t>：</w:t>
      </w:r>
      <w:r>
        <w:rPr>
          <w:rFonts w:hint="eastAsia"/>
          <w:b/>
          <w:sz w:val="24"/>
        </w:rPr>
        <w:t>惠州市第一人民医院新生儿呼吸机等一批设备采购项目</w:t>
      </w:r>
    </w:p>
    <w:p w14:paraId="5B7228FD">
      <w:pPr>
        <w:pStyle w:val="25"/>
        <w:jc w:val="center"/>
        <w:outlineLvl w:val="3"/>
        <w:rPr>
          <w:rFonts w:hint="default"/>
          <w:lang w:eastAsia="zh-CN"/>
        </w:rPr>
      </w:pPr>
      <w:r>
        <w:rPr>
          <w:b/>
          <w:sz w:val="24"/>
        </w:rPr>
        <w:t>采购人：</w:t>
      </w:r>
      <w:r>
        <w:rPr>
          <w:b/>
          <w:sz w:val="24"/>
          <w:lang w:eastAsia="zh-CN"/>
        </w:rPr>
        <w:t>惠州市第一人民医院</w:t>
      </w:r>
    </w:p>
    <w:p w14:paraId="555FB93E">
      <w:pPr>
        <w:pStyle w:val="25"/>
        <w:jc w:val="center"/>
        <w:outlineLvl w:val="3"/>
        <w:rPr>
          <w:rFonts w:hint="default"/>
          <w:lang w:eastAsia="zh-CN"/>
        </w:rPr>
      </w:pPr>
      <w:r>
        <w:rPr>
          <w:b/>
          <w:sz w:val="24"/>
        </w:rPr>
        <w:t>采购代理机构：</w:t>
      </w:r>
      <w:r>
        <w:rPr>
          <w:b/>
          <w:sz w:val="24"/>
          <w:lang w:eastAsia="zh-CN"/>
        </w:rPr>
        <w:t>惠州市中弘咨询管理有限公司</w:t>
      </w:r>
    </w:p>
    <w:p w14:paraId="33D15148">
      <w:pPr>
        <w:pStyle w:val="25"/>
        <w:ind w:firstLine="480"/>
        <w:rPr>
          <w:rFonts w:hint="default"/>
        </w:rPr>
      </w:pPr>
      <w:r>
        <w:t xml:space="preserve">  </w:t>
      </w:r>
    </w:p>
    <w:p w14:paraId="366E86D6">
      <w:pPr>
        <w:rPr>
          <w:b/>
          <w:sz w:val="36"/>
        </w:rPr>
      </w:pPr>
      <w:r>
        <w:rPr>
          <w:b/>
          <w:sz w:val="36"/>
        </w:rPr>
        <w:br w:type="page"/>
      </w:r>
    </w:p>
    <w:p w14:paraId="78941778">
      <w:pPr>
        <w:jc w:val="center"/>
        <w:rPr>
          <w:sz w:val="36"/>
          <w:szCs w:val="44"/>
        </w:rPr>
      </w:pPr>
      <w:r>
        <w:rPr>
          <w:rFonts w:ascii="宋体" w:hAnsi="宋体"/>
          <w:b/>
          <w:bCs/>
          <w:sz w:val="40"/>
          <w:szCs w:val="48"/>
        </w:rPr>
        <w:t>目录</w:t>
      </w:r>
    </w:p>
    <w:p w14:paraId="2EF42952">
      <w:pPr>
        <w:pStyle w:val="12"/>
        <w:tabs>
          <w:tab w:val="right" w:leader="dot" w:pos="8306"/>
        </w:tabs>
        <w:rPr>
          <w:sz w:val="32"/>
          <w:szCs w:val="40"/>
        </w:rPr>
      </w:pPr>
      <w:r>
        <w:rPr>
          <w:sz w:val="36"/>
          <w:szCs w:val="44"/>
        </w:rPr>
        <w:fldChar w:fldCharType="begin"/>
      </w:r>
      <w:r>
        <w:rPr>
          <w:sz w:val="36"/>
          <w:szCs w:val="44"/>
        </w:rPr>
        <w:instrText xml:space="preserve">TOC \o "1-1" \h \u </w:instrText>
      </w:r>
      <w:r>
        <w:rPr>
          <w:sz w:val="36"/>
          <w:szCs w:val="44"/>
        </w:rPr>
        <w:fldChar w:fldCharType="separate"/>
      </w:r>
      <w:r>
        <w:fldChar w:fldCharType="begin"/>
      </w:r>
      <w:r>
        <w:instrText xml:space="preserve"> HYPERLINK \l "_Toc23773" </w:instrText>
      </w:r>
      <w:r>
        <w:fldChar w:fldCharType="separate"/>
      </w:r>
      <w:r>
        <w:rPr>
          <w:sz w:val="32"/>
          <w:szCs w:val="40"/>
        </w:rPr>
        <w:t>第一章</w:t>
      </w:r>
      <w:r>
        <w:rPr>
          <w:rFonts w:hint="eastAsia"/>
          <w:sz w:val="32"/>
          <w:szCs w:val="40"/>
        </w:rPr>
        <w:t xml:space="preserve"> </w:t>
      </w:r>
      <w:r>
        <w:rPr>
          <w:sz w:val="32"/>
          <w:szCs w:val="40"/>
        </w:rPr>
        <w:t>投标邀请</w:t>
      </w:r>
      <w:r>
        <w:rPr>
          <w:sz w:val="32"/>
          <w:szCs w:val="40"/>
        </w:rPr>
        <w:fldChar w:fldCharType="end"/>
      </w:r>
    </w:p>
    <w:p w14:paraId="46686EC6">
      <w:pPr>
        <w:pStyle w:val="12"/>
        <w:tabs>
          <w:tab w:val="right" w:leader="dot" w:pos="8306"/>
        </w:tabs>
        <w:rPr>
          <w:sz w:val="32"/>
          <w:szCs w:val="40"/>
        </w:rPr>
      </w:pPr>
      <w:r>
        <w:fldChar w:fldCharType="begin"/>
      </w:r>
      <w:r>
        <w:instrText xml:space="preserve"> HYPERLINK \l "_Toc1768" </w:instrText>
      </w:r>
      <w:r>
        <w:fldChar w:fldCharType="separate"/>
      </w:r>
      <w:r>
        <w:rPr>
          <w:sz w:val="32"/>
          <w:szCs w:val="40"/>
        </w:rPr>
        <w:t>第二章 采购需求</w:t>
      </w:r>
      <w:r>
        <w:rPr>
          <w:sz w:val="32"/>
          <w:szCs w:val="40"/>
        </w:rPr>
        <w:fldChar w:fldCharType="end"/>
      </w:r>
    </w:p>
    <w:p w14:paraId="45B29EDC">
      <w:pPr>
        <w:pStyle w:val="12"/>
        <w:tabs>
          <w:tab w:val="right" w:leader="dot" w:pos="8306"/>
        </w:tabs>
        <w:rPr>
          <w:sz w:val="32"/>
          <w:szCs w:val="40"/>
        </w:rPr>
      </w:pPr>
      <w:r>
        <w:fldChar w:fldCharType="begin"/>
      </w:r>
      <w:r>
        <w:instrText xml:space="preserve"> HYPERLINK \l "_Toc31376" </w:instrText>
      </w:r>
      <w:r>
        <w:fldChar w:fldCharType="separate"/>
      </w:r>
      <w:r>
        <w:rPr>
          <w:sz w:val="32"/>
          <w:szCs w:val="40"/>
        </w:rPr>
        <w:t>第三章 投标人须知</w:t>
      </w:r>
      <w:r>
        <w:rPr>
          <w:sz w:val="32"/>
          <w:szCs w:val="40"/>
        </w:rPr>
        <w:fldChar w:fldCharType="end"/>
      </w:r>
    </w:p>
    <w:p w14:paraId="7F769576">
      <w:pPr>
        <w:pStyle w:val="12"/>
        <w:tabs>
          <w:tab w:val="right" w:leader="dot" w:pos="8306"/>
        </w:tabs>
        <w:rPr>
          <w:sz w:val="32"/>
          <w:szCs w:val="40"/>
        </w:rPr>
      </w:pPr>
      <w:r>
        <w:fldChar w:fldCharType="begin"/>
      </w:r>
      <w:r>
        <w:instrText xml:space="preserve"> HYPERLINK \l "_Toc4465" </w:instrText>
      </w:r>
      <w:r>
        <w:fldChar w:fldCharType="separate"/>
      </w:r>
      <w:r>
        <w:rPr>
          <w:sz w:val="32"/>
          <w:szCs w:val="40"/>
        </w:rPr>
        <w:t>第四章 评标</w:t>
      </w:r>
      <w:r>
        <w:rPr>
          <w:sz w:val="32"/>
          <w:szCs w:val="40"/>
        </w:rPr>
        <w:fldChar w:fldCharType="end"/>
      </w:r>
    </w:p>
    <w:p w14:paraId="69B88B1C">
      <w:pPr>
        <w:pStyle w:val="12"/>
        <w:tabs>
          <w:tab w:val="right" w:leader="dot" w:pos="8306"/>
        </w:tabs>
        <w:rPr>
          <w:sz w:val="32"/>
          <w:szCs w:val="40"/>
        </w:rPr>
      </w:pPr>
      <w:r>
        <w:fldChar w:fldCharType="begin"/>
      </w:r>
      <w:r>
        <w:instrText xml:space="preserve"> HYPERLINK \l "_Toc25013" </w:instrText>
      </w:r>
      <w:r>
        <w:fldChar w:fldCharType="separate"/>
      </w:r>
      <w:r>
        <w:rPr>
          <w:sz w:val="32"/>
          <w:szCs w:val="40"/>
        </w:rPr>
        <w:t>第五章 合同文本</w:t>
      </w:r>
      <w:r>
        <w:rPr>
          <w:sz w:val="32"/>
          <w:szCs w:val="40"/>
        </w:rPr>
        <w:fldChar w:fldCharType="end"/>
      </w:r>
    </w:p>
    <w:p w14:paraId="5DB44E59">
      <w:pPr>
        <w:pStyle w:val="12"/>
        <w:tabs>
          <w:tab w:val="right" w:leader="dot" w:pos="8306"/>
        </w:tabs>
        <w:rPr>
          <w:sz w:val="32"/>
          <w:szCs w:val="40"/>
        </w:rPr>
      </w:pPr>
      <w:r>
        <w:fldChar w:fldCharType="begin"/>
      </w:r>
      <w:r>
        <w:instrText xml:space="preserve"> HYPERLINK \l "_Toc13023" </w:instrText>
      </w:r>
      <w:r>
        <w:fldChar w:fldCharType="separate"/>
      </w:r>
      <w:r>
        <w:rPr>
          <w:sz w:val="32"/>
          <w:szCs w:val="40"/>
        </w:rPr>
        <w:t>第六章 投标文件格式与要求</w:t>
      </w:r>
      <w:r>
        <w:rPr>
          <w:sz w:val="32"/>
          <w:szCs w:val="40"/>
        </w:rPr>
        <w:fldChar w:fldCharType="end"/>
      </w:r>
    </w:p>
    <w:p w14:paraId="1C1BA27B">
      <w:pPr>
        <w:pStyle w:val="12"/>
        <w:tabs>
          <w:tab w:val="right" w:leader="dot" w:pos="8306"/>
        </w:tabs>
        <w:rPr>
          <w:sz w:val="36"/>
          <w:szCs w:val="44"/>
        </w:rPr>
      </w:pPr>
    </w:p>
    <w:p w14:paraId="01F7C8B2">
      <w:r>
        <w:rPr>
          <w:sz w:val="32"/>
          <w:szCs w:val="32"/>
        </w:rPr>
        <w:fldChar w:fldCharType="end"/>
      </w:r>
    </w:p>
    <w:p w14:paraId="01E8B97E"/>
    <w:p w14:paraId="1F354F4E">
      <w:pPr>
        <w:outlineLvl w:val="0"/>
        <w:rPr>
          <w:b/>
          <w:sz w:val="36"/>
        </w:rPr>
      </w:pPr>
      <w:r>
        <w:rPr>
          <w:b/>
          <w:sz w:val="36"/>
        </w:rPr>
        <w:br w:type="page"/>
      </w:r>
    </w:p>
    <w:p w14:paraId="184288BF">
      <w:pPr>
        <w:pStyle w:val="3"/>
        <w:ind w:firstLine="482"/>
      </w:pPr>
    </w:p>
    <w:p w14:paraId="57D60B25">
      <w:pPr>
        <w:pStyle w:val="25"/>
        <w:jc w:val="center"/>
        <w:outlineLvl w:val="0"/>
        <w:rPr>
          <w:rFonts w:hint="default"/>
        </w:rPr>
      </w:pPr>
      <w:bookmarkStart w:id="1" w:name="_Toc23773"/>
      <w:r>
        <w:rPr>
          <w:b/>
          <w:sz w:val="36"/>
        </w:rPr>
        <w:t>第一章</w:t>
      </w:r>
      <w:r>
        <w:rPr>
          <w:b/>
          <w:sz w:val="36"/>
          <w:lang w:eastAsia="zh-CN"/>
        </w:rPr>
        <w:t xml:space="preserve"> </w:t>
      </w:r>
      <w:r>
        <w:rPr>
          <w:b/>
          <w:sz w:val="36"/>
        </w:rPr>
        <w:t>投标邀请</w:t>
      </w:r>
      <w:bookmarkEnd w:id="1"/>
    </w:p>
    <w:p w14:paraId="7472E9D7">
      <w:pPr>
        <w:pStyle w:val="25"/>
        <w:ind w:firstLine="480"/>
        <w:rPr>
          <w:rFonts w:hint="default"/>
        </w:rPr>
      </w:pPr>
      <w:r>
        <w:rPr>
          <w:lang w:eastAsia="zh-CN"/>
        </w:rPr>
        <w:t>惠州市中弘咨询管理有限公司</w:t>
      </w:r>
      <w:r>
        <w:t>受</w:t>
      </w:r>
      <w:r>
        <w:rPr>
          <w:lang w:eastAsia="zh-CN"/>
        </w:rPr>
        <w:t>惠州市第一人民医院</w:t>
      </w:r>
      <w:r>
        <w:t>的委托，采用公开招标方式组织采购</w:t>
      </w:r>
      <w:r>
        <w:rPr>
          <w:lang w:eastAsia="zh-CN"/>
        </w:rPr>
        <w:t>惠州市第一人民医院新生儿呼吸机等一批设备采购项目</w:t>
      </w:r>
      <w:r>
        <w:t>。欢迎符合资格条件的国内供应商参加投标。</w:t>
      </w:r>
    </w:p>
    <w:p w14:paraId="1FBCCB5D">
      <w:pPr>
        <w:pStyle w:val="25"/>
        <w:outlineLvl w:val="2"/>
        <w:rPr>
          <w:rFonts w:hint="default"/>
        </w:rPr>
      </w:pPr>
      <w:r>
        <w:rPr>
          <w:b/>
          <w:sz w:val="28"/>
        </w:rPr>
        <w:t>一</w:t>
      </w:r>
      <w:r>
        <w:rPr>
          <w:b/>
          <w:sz w:val="28"/>
          <w:lang w:eastAsia="zh-CN"/>
        </w:rPr>
        <w:t>、</w:t>
      </w:r>
      <w:r>
        <w:rPr>
          <w:b/>
          <w:sz w:val="28"/>
        </w:rPr>
        <w:t>项目概述</w:t>
      </w:r>
    </w:p>
    <w:p w14:paraId="68C13ED4">
      <w:pPr>
        <w:pStyle w:val="25"/>
        <w:outlineLvl w:val="3"/>
        <w:rPr>
          <w:rFonts w:hint="default"/>
        </w:rPr>
      </w:pPr>
      <w:r>
        <w:rPr>
          <w:b/>
          <w:sz w:val="24"/>
        </w:rPr>
        <w:t>1</w:t>
      </w:r>
      <w:r>
        <w:rPr>
          <w:b/>
          <w:sz w:val="24"/>
          <w:lang w:eastAsia="zh-CN"/>
        </w:rPr>
        <w:t>、</w:t>
      </w:r>
      <w:r>
        <w:rPr>
          <w:b/>
          <w:sz w:val="24"/>
        </w:rPr>
        <w:t>名称与编号</w:t>
      </w:r>
    </w:p>
    <w:p w14:paraId="3C3953F4">
      <w:pPr>
        <w:pStyle w:val="25"/>
        <w:ind w:firstLine="480"/>
        <w:rPr>
          <w:rFonts w:hint="default"/>
          <w:lang w:eastAsia="zh-CN"/>
        </w:rPr>
      </w:pPr>
      <w:bookmarkStart w:id="2" w:name="OLE_LINK1"/>
      <w:r>
        <w:rPr>
          <w:lang w:eastAsia="zh-CN"/>
        </w:rPr>
        <w:t>采购项目名称</w:t>
      </w:r>
      <w:r>
        <w:t>：</w:t>
      </w:r>
      <w:r>
        <w:rPr>
          <w:lang w:eastAsia="zh-CN"/>
        </w:rPr>
        <w:t>惠州市第一人民医院新生儿呼吸机等一批设备采购项目</w:t>
      </w:r>
    </w:p>
    <w:p w14:paraId="052E654D">
      <w:pPr>
        <w:pStyle w:val="25"/>
        <w:ind w:firstLine="480"/>
        <w:rPr>
          <w:rFonts w:hint="default"/>
          <w:lang w:eastAsia="zh-CN"/>
        </w:rPr>
      </w:pPr>
      <w:r>
        <w:t>采购项目编号：</w:t>
      </w:r>
      <w:r>
        <w:rPr>
          <w:lang w:eastAsia="zh-CN"/>
        </w:rPr>
        <w:t>HZZH2026021</w:t>
      </w:r>
    </w:p>
    <w:p w14:paraId="75A6526C">
      <w:pPr>
        <w:pStyle w:val="25"/>
        <w:ind w:firstLine="480"/>
        <w:rPr>
          <w:rFonts w:hint="default"/>
        </w:rPr>
      </w:pPr>
      <w:r>
        <w:rPr>
          <w:lang w:eastAsia="zh-CN"/>
        </w:rPr>
        <w:t>采购方</w:t>
      </w:r>
      <w:r>
        <w:t>式：公开招标</w:t>
      </w:r>
    </w:p>
    <w:p w14:paraId="04857EC6">
      <w:pPr>
        <w:pStyle w:val="25"/>
        <w:ind w:firstLine="480"/>
        <w:rPr>
          <w:rFonts w:hint="default"/>
        </w:rPr>
      </w:pPr>
      <w:r>
        <w:t>预算金额：</w:t>
      </w:r>
      <w:r>
        <w:rPr>
          <w:lang w:eastAsia="zh-CN"/>
        </w:rPr>
        <w:t>559,300.00</w:t>
      </w:r>
      <w:r>
        <w:t>元</w:t>
      </w:r>
      <w:bookmarkEnd w:id="2"/>
    </w:p>
    <w:p w14:paraId="21FA8FD8">
      <w:pPr>
        <w:pStyle w:val="25"/>
        <w:numPr>
          <w:ilvl w:val="0"/>
          <w:numId w:val="1"/>
        </w:numPr>
        <w:outlineLvl w:val="3"/>
        <w:rPr>
          <w:rFonts w:hint="default"/>
          <w:b/>
          <w:sz w:val="24"/>
        </w:rPr>
      </w:pPr>
      <w:r>
        <w:rPr>
          <w:b/>
          <w:sz w:val="24"/>
        </w:rPr>
        <w:t>项目内容及需求情况（采购项目技术规格、参数及要求）</w:t>
      </w:r>
    </w:p>
    <w:p w14:paraId="770D89C1">
      <w:pPr>
        <w:pStyle w:val="25"/>
        <w:rPr>
          <w:rFonts w:hint="default"/>
        </w:rPr>
      </w:pPr>
      <w:r>
        <w:t>采购包1(</w:t>
      </w:r>
      <w:r>
        <w:rPr>
          <w:lang w:eastAsia="zh-CN"/>
        </w:rPr>
        <w:t>新生儿呼吸机采购项目</w:t>
      </w:r>
      <w:r>
        <w:t>):</w:t>
      </w:r>
    </w:p>
    <w:p w14:paraId="5B20925C">
      <w:pPr>
        <w:pStyle w:val="25"/>
        <w:rPr>
          <w:rFonts w:hint="default"/>
        </w:rPr>
      </w:pPr>
      <w:r>
        <w:t>采购包预算金额：</w:t>
      </w:r>
      <w:r>
        <w:rPr>
          <w:lang w:eastAsia="zh-CN"/>
        </w:rPr>
        <w:t>469,500.00</w:t>
      </w:r>
      <w:r>
        <w:t>元</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2136"/>
        <w:gridCol w:w="1187"/>
        <w:gridCol w:w="1187"/>
        <w:gridCol w:w="1187"/>
      </w:tblGrid>
      <w:tr w14:paraId="7E6D4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A08DAF1">
            <w:pPr>
              <w:pStyle w:val="25"/>
              <w:rPr>
                <w:rFonts w:hint="default"/>
              </w:rPr>
            </w:pPr>
            <w:r>
              <w:t>品目号</w:t>
            </w:r>
          </w:p>
        </w:tc>
        <w:tc>
          <w:tcPr>
            <w:tcW w:w="2136" w:type="dxa"/>
          </w:tcPr>
          <w:p w14:paraId="77128BC1">
            <w:pPr>
              <w:pStyle w:val="25"/>
              <w:rPr>
                <w:rFonts w:hint="default"/>
              </w:rPr>
            </w:pPr>
            <w:r>
              <w:t>采购标的</w:t>
            </w:r>
          </w:p>
        </w:tc>
        <w:tc>
          <w:tcPr>
            <w:tcW w:w="1187" w:type="dxa"/>
          </w:tcPr>
          <w:p w14:paraId="66F48721">
            <w:pPr>
              <w:pStyle w:val="25"/>
              <w:rPr>
                <w:rFonts w:hint="default"/>
              </w:rPr>
            </w:pPr>
            <w:r>
              <w:t>数量（单位）</w:t>
            </w:r>
          </w:p>
        </w:tc>
        <w:tc>
          <w:tcPr>
            <w:tcW w:w="1187" w:type="dxa"/>
          </w:tcPr>
          <w:p w14:paraId="014410CE">
            <w:pPr>
              <w:pStyle w:val="25"/>
              <w:rPr>
                <w:rFonts w:hint="default"/>
              </w:rPr>
            </w:pPr>
            <w:r>
              <w:t>技术规格、参数及要求</w:t>
            </w:r>
          </w:p>
        </w:tc>
        <w:tc>
          <w:tcPr>
            <w:tcW w:w="1187" w:type="dxa"/>
          </w:tcPr>
          <w:p w14:paraId="64DB1050">
            <w:pPr>
              <w:pStyle w:val="25"/>
              <w:rPr>
                <w:rFonts w:hint="default"/>
              </w:rPr>
            </w:pPr>
            <w:r>
              <w:t>是否允许进口产品</w:t>
            </w:r>
          </w:p>
        </w:tc>
      </w:tr>
      <w:tr w14:paraId="2AD93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6454E0E">
            <w:pPr>
              <w:pStyle w:val="25"/>
              <w:rPr>
                <w:rFonts w:hint="default"/>
              </w:rPr>
            </w:pPr>
            <w:r>
              <w:t>1-1</w:t>
            </w:r>
          </w:p>
        </w:tc>
        <w:tc>
          <w:tcPr>
            <w:tcW w:w="2136" w:type="dxa"/>
          </w:tcPr>
          <w:p w14:paraId="2E003F45">
            <w:pPr>
              <w:pStyle w:val="25"/>
              <w:rPr>
                <w:rFonts w:hint="default"/>
                <w:lang w:eastAsia="zh-CN"/>
              </w:rPr>
            </w:pPr>
            <w:r>
              <w:rPr>
                <w:lang w:eastAsia="zh-CN"/>
              </w:rPr>
              <w:t>新生儿呼吸机采购项目</w:t>
            </w:r>
          </w:p>
        </w:tc>
        <w:tc>
          <w:tcPr>
            <w:tcW w:w="1187" w:type="dxa"/>
          </w:tcPr>
          <w:p w14:paraId="3B5CC5D8">
            <w:pPr>
              <w:pStyle w:val="25"/>
              <w:rPr>
                <w:rFonts w:hint="default"/>
              </w:rPr>
            </w:pPr>
            <w:r>
              <w:t>1(</w:t>
            </w:r>
            <w:r>
              <w:rPr>
                <w:lang w:eastAsia="zh-CN"/>
              </w:rPr>
              <w:t>套</w:t>
            </w:r>
            <w:r>
              <w:t>)</w:t>
            </w:r>
          </w:p>
        </w:tc>
        <w:tc>
          <w:tcPr>
            <w:tcW w:w="1187" w:type="dxa"/>
          </w:tcPr>
          <w:p w14:paraId="3C30C780">
            <w:pPr>
              <w:pStyle w:val="25"/>
              <w:rPr>
                <w:rFonts w:hint="default"/>
                <w:highlight w:val="none"/>
              </w:rPr>
            </w:pPr>
            <w:r>
              <w:rPr>
                <w:highlight w:val="none"/>
              </w:rPr>
              <w:t>详见第二章</w:t>
            </w:r>
          </w:p>
        </w:tc>
        <w:tc>
          <w:tcPr>
            <w:tcW w:w="1187" w:type="dxa"/>
          </w:tcPr>
          <w:p w14:paraId="3E0E9709">
            <w:pPr>
              <w:pStyle w:val="25"/>
              <w:rPr>
                <w:rFonts w:hint="eastAsia" w:eastAsia="宋体"/>
                <w:highlight w:val="none"/>
                <w:lang w:eastAsia="zh-CN"/>
              </w:rPr>
            </w:pPr>
            <w:r>
              <w:rPr>
                <w:rFonts w:hint="eastAsia"/>
                <w:highlight w:val="none"/>
                <w:lang w:eastAsia="zh-CN"/>
              </w:rPr>
              <w:t>是</w:t>
            </w:r>
          </w:p>
        </w:tc>
      </w:tr>
    </w:tbl>
    <w:p w14:paraId="04F26CA7">
      <w:pPr>
        <w:pStyle w:val="25"/>
        <w:rPr>
          <w:rFonts w:hint="default"/>
        </w:rPr>
      </w:pPr>
      <w:r>
        <w:t>本采购包不接受联合体响应</w:t>
      </w:r>
    </w:p>
    <w:p w14:paraId="24083B01">
      <w:pPr>
        <w:pStyle w:val="25"/>
        <w:rPr>
          <w:rFonts w:hint="default"/>
        </w:rPr>
      </w:pPr>
      <w:r>
        <w:t>合同分包：不允许合同分包</w:t>
      </w:r>
    </w:p>
    <w:p w14:paraId="0570CF00">
      <w:pPr>
        <w:pStyle w:val="25"/>
        <w:rPr>
          <w:rFonts w:hint="default"/>
          <w:lang w:eastAsia="zh-CN"/>
        </w:rPr>
      </w:pPr>
      <w:r>
        <w:t>合同履行期限：</w:t>
      </w:r>
      <w:r>
        <w:rPr>
          <w:lang w:eastAsia="zh-CN"/>
        </w:rPr>
        <w:t>自合同签订之日起，到货时间≤30天；如采购人有特殊需求，另行协商。</w:t>
      </w:r>
    </w:p>
    <w:p w14:paraId="25FA07F2">
      <w:pPr>
        <w:pStyle w:val="25"/>
        <w:rPr>
          <w:rFonts w:hint="default"/>
        </w:rPr>
      </w:pPr>
    </w:p>
    <w:p w14:paraId="14C4C32C">
      <w:pPr>
        <w:pStyle w:val="25"/>
        <w:rPr>
          <w:rFonts w:hint="default"/>
        </w:rPr>
      </w:pPr>
      <w:r>
        <w:t>采购包2(</w:t>
      </w:r>
      <w:r>
        <w:rPr>
          <w:lang w:eastAsia="zh-CN"/>
        </w:rPr>
        <w:t>婴儿培养箱采购项目</w:t>
      </w:r>
      <w:r>
        <w:t>):</w:t>
      </w:r>
    </w:p>
    <w:p w14:paraId="43B8633B">
      <w:pPr>
        <w:pStyle w:val="25"/>
        <w:rPr>
          <w:rFonts w:hint="default"/>
        </w:rPr>
      </w:pPr>
      <w:r>
        <w:t>采购包预算金额：</w:t>
      </w:r>
      <w:r>
        <w:rPr>
          <w:lang w:eastAsia="zh-CN"/>
        </w:rPr>
        <w:t>89,800.00</w:t>
      </w:r>
      <w:r>
        <w:t>元</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2136"/>
        <w:gridCol w:w="1187"/>
        <w:gridCol w:w="1187"/>
        <w:gridCol w:w="1187"/>
      </w:tblGrid>
      <w:tr w14:paraId="15B8A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ED44A8C">
            <w:pPr>
              <w:pStyle w:val="25"/>
              <w:rPr>
                <w:rFonts w:hint="default"/>
              </w:rPr>
            </w:pPr>
            <w:r>
              <w:t>品目号</w:t>
            </w:r>
          </w:p>
        </w:tc>
        <w:tc>
          <w:tcPr>
            <w:tcW w:w="2136" w:type="dxa"/>
          </w:tcPr>
          <w:p w14:paraId="262BD37A">
            <w:pPr>
              <w:pStyle w:val="25"/>
              <w:rPr>
                <w:rFonts w:hint="default"/>
              </w:rPr>
            </w:pPr>
            <w:r>
              <w:t>采购标的</w:t>
            </w:r>
          </w:p>
        </w:tc>
        <w:tc>
          <w:tcPr>
            <w:tcW w:w="1187" w:type="dxa"/>
          </w:tcPr>
          <w:p w14:paraId="219839DE">
            <w:pPr>
              <w:pStyle w:val="25"/>
              <w:rPr>
                <w:rFonts w:hint="default"/>
              </w:rPr>
            </w:pPr>
            <w:r>
              <w:t>数量（单位）</w:t>
            </w:r>
          </w:p>
        </w:tc>
        <w:tc>
          <w:tcPr>
            <w:tcW w:w="1187" w:type="dxa"/>
          </w:tcPr>
          <w:p w14:paraId="2A923456">
            <w:pPr>
              <w:pStyle w:val="25"/>
              <w:rPr>
                <w:rFonts w:hint="default"/>
              </w:rPr>
            </w:pPr>
            <w:r>
              <w:t>技术规格、参数及要求</w:t>
            </w:r>
          </w:p>
        </w:tc>
        <w:tc>
          <w:tcPr>
            <w:tcW w:w="1187" w:type="dxa"/>
          </w:tcPr>
          <w:p w14:paraId="469396AD">
            <w:pPr>
              <w:pStyle w:val="25"/>
              <w:rPr>
                <w:rFonts w:hint="default"/>
              </w:rPr>
            </w:pPr>
            <w:r>
              <w:t>是否允许进口产品</w:t>
            </w:r>
          </w:p>
        </w:tc>
      </w:tr>
      <w:tr w14:paraId="585FD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762BC35">
            <w:pPr>
              <w:pStyle w:val="25"/>
              <w:rPr>
                <w:rFonts w:hint="default"/>
              </w:rPr>
            </w:pPr>
            <w:r>
              <w:t>2-1</w:t>
            </w:r>
          </w:p>
        </w:tc>
        <w:tc>
          <w:tcPr>
            <w:tcW w:w="2136" w:type="dxa"/>
          </w:tcPr>
          <w:p w14:paraId="6C9AA5B7">
            <w:pPr>
              <w:pStyle w:val="25"/>
              <w:rPr>
                <w:rFonts w:hint="default"/>
                <w:lang w:eastAsia="zh-CN"/>
              </w:rPr>
            </w:pPr>
            <w:r>
              <w:rPr>
                <w:lang w:eastAsia="zh-CN"/>
              </w:rPr>
              <w:t>婴儿培养箱采购项目</w:t>
            </w:r>
          </w:p>
        </w:tc>
        <w:tc>
          <w:tcPr>
            <w:tcW w:w="1187" w:type="dxa"/>
          </w:tcPr>
          <w:p w14:paraId="3E02DE0A">
            <w:pPr>
              <w:pStyle w:val="25"/>
              <w:rPr>
                <w:rFonts w:hint="default"/>
              </w:rPr>
            </w:pPr>
            <w:r>
              <w:rPr>
                <w:lang w:eastAsia="zh-CN"/>
              </w:rPr>
              <w:t>2</w:t>
            </w:r>
            <w:r>
              <w:t>(</w:t>
            </w:r>
            <w:r>
              <w:rPr>
                <w:lang w:eastAsia="zh-CN"/>
              </w:rPr>
              <w:t>套</w:t>
            </w:r>
            <w:r>
              <w:t>)</w:t>
            </w:r>
          </w:p>
        </w:tc>
        <w:tc>
          <w:tcPr>
            <w:tcW w:w="1187" w:type="dxa"/>
          </w:tcPr>
          <w:p w14:paraId="6A117957">
            <w:pPr>
              <w:pStyle w:val="25"/>
              <w:rPr>
                <w:rFonts w:hint="default"/>
              </w:rPr>
            </w:pPr>
            <w:r>
              <w:t>详见第二章</w:t>
            </w:r>
          </w:p>
        </w:tc>
        <w:tc>
          <w:tcPr>
            <w:tcW w:w="1187" w:type="dxa"/>
          </w:tcPr>
          <w:p w14:paraId="088AE296">
            <w:pPr>
              <w:pStyle w:val="25"/>
              <w:rPr>
                <w:rFonts w:hint="default"/>
              </w:rPr>
            </w:pPr>
            <w:r>
              <w:t>否</w:t>
            </w:r>
          </w:p>
        </w:tc>
      </w:tr>
    </w:tbl>
    <w:p w14:paraId="4779723A">
      <w:pPr>
        <w:pStyle w:val="25"/>
        <w:rPr>
          <w:rFonts w:hint="default"/>
        </w:rPr>
      </w:pPr>
      <w:r>
        <w:t>本采购包不接受联合体响应</w:t>
      </w:r>
    </w:p>
    <w:p w14:paraId="26E71B12">
      <w:pPr>
        <w:pStyle w:val="25"/>
        <w:rPr>
          <w:rFonts w:hint="default"/>
        </w:rPr>
      </w:pPr>
      <w:r>
        <w:t>合同分包：不允许合同分包</w:t>
      </w:r>
    </w:p>
    <w:p w14:paraId="3F271803">
      <w:pPr>
        <w:pStyle w:val="25"/>
        <w:outlineLvl w:val="3"/>
        <w:rPr>
          <w:rFonts w:hint="default"/>
          <w:b/>
          <w:sz w:val="24"/>
        </w:rPr>
      </w:pPr>
      <w:r>
        <w:t>合同履行期限：自合同签订</w:t>
      </w:r>
      <w:r>
        <w:rPr>
          <w:lang w:eastAsia="zh-CN"/>
        </w:rPr>
        <w:t>之</w:t>
      </w:r>
      <w:r>
        <w:t>日起，到货时间≤30天；如采购人有特殊需求，另行协商。</w:t>
      </w:r>
    </w:p>
    <w:p w14:paraId="04EEFFA1">
      <w:pPr>
        <w:pStyle w:val="25"/>
        <w:outlineLvl w:val="3"/>
        <w:rPr>
          <w:rFonts w:hint="default"/>
          <w:b/>
          <w:sz w:val="24"/>
        </w:rPr>
      </w:pPr>
    </w:p>
    <w:p w14:paraId="2E538DBB">
      <w:pPr>
        <w:pStyle w:val="25"/>
        <w:numPr>
          <w:ilvl w:val="0"/>
          <w:numId w:val="2"/>
        </w:numPr>
        <w:outlineLvl w:val="2"/>
        <w:rPr>
          <w:rFonts w:hint="default"/>
          <w:b/>
          <w:sz w:val="28"/>
        </w:rPr>
      </w:pPr>
      <w:r>
        <w:rPr>
          <w:b/>
          <w:sz w:val="28"/>
        </w:rPr>
        <w:t>投标人的资格要求</w:t>
      </w:r>
    </w:p>
    <w:p w14:paraId="32ECFE64">
      <w:pPr>
        <w:outlineLvl w:val="2"/>
        <w:rPr>
          <w:rFonts w:ascii="宋体" w:hAnsi="宋体" w:cs="宋体"/>
          <w:sz w:val="20"/>
          <w:szCs w:val="22"/>
        </w:rPr>
      </w:pPr>
      <w:r>
        <w:rPr>
          <w:rFonts w:hint="eastAsia" w:ascii="宋体" w:hAnsi="宋体" w:cs="宋体"/>
          <w:sz w:val="20"/>
          <w:szCs w:val="22"/>
        </w:rPr>
        <w:t>1.投标人应具备《中华人民共和国政府采购法》第二十二条规定的条件，提供下列材料：</w:t>
      </w:r>
    </w:p>
    <w:p w14:paraId="02655BE8">
      <w:pPr>
        <w:spacing w:line="320" w:lineRule="exact"/>
        <w:ind w:firstLine="400" w:firstLineChars="200"/>
        <w:rPr>
          <w:rFonts w:ascii="宋体" w:hAnsi="宋体"/>
          <w:sz w:val="20"/>
          <w:szCs w:val="20"/>
        </w:rPr>
      </w:pPr>
      <w:r>
        <w:rPr>
          <w:rFonts w:hint="eastAsia" w:ascii="宋体" w:hAnsi="宋体"/>
          <w:sz w:val="20"/>
          <w:szCs w:val="20"/>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5039C78B">
      <w:pPr>
        <w:spacing w:line="320" w:lineRule="exact"/>
        <w:ind w:firstLine="400" w:firstLineChars="200"/>
        <w:rPr>
          <w:rFonts w:ascii="宋体" w:hAnsi="宋体"/>
          <w:sz w:val="20"/>
          <w:szCs w:val="20"/>
        </w:rPr>
      </w:pPr>
      <w:r>
        <w:rPr>
          <w:rFonts w:hint="eastAsia" w:ascii="宋体" w:hAnsi="宋体"/>
          <w:sz w:val="20"/>
          <w:szCs w:val="20"/>
        </w:rPr>
        <w:t>2）有依法缴纳税收和社会保障资金的良好记录：依据投标函相关承诺格式内容。</w:t>
      </w:r>
    </w:p>
    <w:p w14:paraId="69F700F4">
      <w:pPr>
        <w:spacing w:line="320" w:lineRule="exact"/>
        <w:ind w:firstLine="400" w:firstLineChars="200"/>
        <w:rPr>
          <w:rFonts w:ascii="宋体" w:hAnsi="宋体"/>
          <w:sz w:val="20"/>
          <w:szCs w:val="20"/>
        </w:rPr>
      </w:pPr>
      <w:r>
        <w:rPr>
          <w:rFonts w:hint="eastAsia" w:ascii="宋体" w:hAnsi="宋体"/>
          <w:sz w:val="20"/>
          <w:szCs w:val="20"/>
        </w:rPr>
        <w:t>3）供应商必须具有良好的商业信誉和健全的财务会计制度：依据投标函相关承诺格式内容。</w:t>
      </w:r>
    </w:p>
    <w:p w14:paraId="47D72ABB">
      <w:pPr>
        <w:spacing w:line="320" w:lineRule="exact"/>
        <w:ind w:firstLine="400" w:firstLineChars="200"/>
        <w:rPr>
          <w:rFonts w:ascii="宋体" w:hAnsi="宋体"/>
          <w:sz w:val="20"/>
          <w:szCs w:val="20"/>
        </w:rPr>
      </w:pPr>
      <w:r>
        <w:rPr>
          <w:rFonts w:hint="eastAsia" w:ascii="宋体" w:hAnsi="宋体"/>
          <w:sz w:val="20"/>
          <w:szCs w:val="20"/>
        </w:rPr>
        <w:t>4）履行合同所必需的设备和专业技术能力：依据投标函相关承诺格式内容或提供具备履行合同所必需的设备和专业技术能力证明资料。</w:t>
      </w:r>
    </w:p>
    <w:p w14:paraId="7507098B">
      <w:pPr>
        <w:ind w:firstLine="400" w:firstLineChars="200"/>
        <w:outlineLvl w:val="2"/>
        <w:rPr>
          <w:rFonts w:ascii="宋体" w:hAnsi="宋体" w:cs="宋体"/>
          <w:sz w:val="20"/>
          <w:szCs w:val="22"/>
        </w:rPr>
      </w:pPr>
      <w:r>
        <w:rPr>
          <w:rFonts w:hint="eastAsia" w:ascii="宋体" w:hAnsi="宋体"/>
          <w:sz w:val="20"/>
          <w:szCs w:val="20"/>
        </w:rPr>
        <w:t>5）参加采购活动前3年内，在经营活动中没有重大违法记录：依据投标函相关承诺格式内容。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F5A9BDF">
      <w:pPr>
        <w:outlineLvl w:val="2"/>
        <w:rPr>
          <w:rFonts w:ascii="宋体" w:hAnsi="宋体" w:cs="宋体"/>
          <w:sz w:val="20"/>
          <w:szCs w:val="22"/>
        </w:rPr>
      </w:pPr>
      <w:r>
        <w:rPr>
          <w:rFonts w:hint="eastAsia" w:ascii="宋体" w:hAnsi="宋体" w:cs="宋体"/>
          <w:sz w:val="20"/>
          <w:szCs w:val="22"/>
        </w:rPr>
        <w:t>2.落实政府采购政策需满足的资格要求：</w:t>
      </w:r>
    </w:p>
    <w:p w14:paraId="27C3EF91">
      <w:pPr>
        <w:outlineLvl w:val="2"/>
        <w:rPr>
          <w:rFonts w:ascii="宋体" w:hAnsi="宋体" w:cs="宋体"/>
          <w:b/>
          <w:bCs/>
          <w:sz w:val="20"/>
          <w:szCs w:val="22"/>
        </w:rPr>
      </w:pPr>
      <w:r>
        <w:rPr>
          <w:rFonts w:hint="eastAsia" w:ascii="宋体" w:hAnsi="宋体" w:cs="宋体"/>
          <w:sz w:val="20"/>
          <w:szCs w:val="22"/>
        </w:rPr>
        <w:t>采购包1(新生儿呼吸机采购项目):采购包整体不专门面向中小企业。供应商须符合本项目采购标的对应行业（工业）政策划分标准的小微企业。监狱企业、残疾人福利单位视同小型、微型企业。注：小微企业以供应商填写的《中小企业声明函》（见招标文件第六章投标/响应文件格式与要求）为判定标准，残疾人福利性单位以供应商填写的《残疾人福利性单位声明函》（见招标文件第六章投标/响应文件格式与要求）为判定标准，监狱企业须供应商提供由省级以上监狱管理局、戒毒管理局（含新疆生产建设兵团）出具的属于监狱企业的证明文件，否则不予认定。</w:t>
      </w:r>
    </w:p>
    <w:p w14:paraId="0551CBA5">
      <w:pPr>
        <w:outlineLvl w:val="2"/>
        <w:rPr>
          <w:rFonts w:ascii="宋体" w:hAnsi="宋体" w:cs="宋体"/>
          <w:sz w:val="20"/>
          <w:szCs w:val="22"/>
        </w:rPr>
      </w:pPr>
    </w:p>
    <w:p w14:paraId="69669BE6">
      <w:pPr>
        <w:outlineLvl w:val="2"/>
        <w:rPr>
          <w:rFonts w:ascii="宋体" w:hAnsi="宋体" w:cs="宋体"/>
          <w:sz w:val="20"/>
          <w:szCs w:val="22"/>
        </w:rPr>
      </w:pPr>
      <w:r>
        <w:rPr>
          <w:rFonts w:hint="eastAsia" w:ascii="宋体" w:hAnsi="宋体" w:cs="宋体"/>
          <w:sz w:val="20"/>
          <w:szCs w:val="22"/>
        </w:rPr>
        <w:t>采购包2(婴儿培养箱采购项目):采购包整体不专门面向中小企业。供应商须符合本项目采购标的对应行业（工业）政策划分标准的小微企业。监狱企业、残疾人福利单位视同小型、微型企业。注：小微企业以供应商填写的《中小企业声明函》（见招标文件第六章投标/响应文件格式与要求）为判定标准，残疾人福利性单位以供应商填写的《残疾人福利性单位声明函》（见招标文件第六章投标/响应文件格式与要求）为判定标准，监狱企业须供应商提供由省级以上监狱管理局、戒毒管理局（含新疆生产建设兵团）出具的属于监狱企业的证明文件，否则不予认定。</w:t>
      </w:r>
    </w:p>
    <w:p w14:paraId="2CD0B7FB">
      <w:pPr>
        <w:outlineLvl w:val="2"/>
        <w:rPr>
          <w:rFonts w:ascii="宋体" w:hAnsi="宋体" w:cs="宋体"/>
          <w:sz w:val="20"/>
          <w:szCs w:val="22"/>
        </w:rPr>
      </w:pPr>
    </w:p>
    <w:p w14:paraId="525AA436">
      <w:pPr>
        <w:outlineLvl w:val="2"/>
        <w:rPr>
          <w:rFonts w:ascii="宋体" w:hAnsi="宋体" w:cs="宋体"/>
          <w:sz w:val="20"/>
          <w:szCs w:val="22"/>
        </w:rPr>
      </w:pPr>
      <w:r>
        <w:rPr>
          <w:rFonts w:hint="eastAsia" w:ascii="宋体" w:hAnsi="宋体" w:cs="宋体"/>
          <w:sz w:val="20"/>
          <w:szCs w:val="22"/>
        </w:rPr>
        <w:t>3.本项目特定的资格要求：</w:t>
      </w:r>
    </w:p>
    <w:p w14:paraId="4B919C3E">
      <w:pPr>
        <w:rPr>
          <w:rFonts w:ascii="宋体" w:hAnsi="宋体" w:cs="宋体"/>
          <w:sz w:val="20"/>
          <w:szCs w:val="22"/>
        </w:rPr>
      </w:pPr>
      <w:r>
        <w:rPr>
          <w:rFonts w:hint="eastAsia" w:ascii="宋体" w:hAnsi="宋体" w:cs="宋体"/>
          <w:sz w:val="20"/>
          <w:szCs w:val="22"/>
        </w:rPr>
        <w:t>采购包1(新生儿呼吸机采购项目):</w:t>
      </w:r>
    </w:p>
    <w:p w14:paraId="0316E400">
      <w:pPr>
        <w:rPr>
          <w:rFonts w:ascii="宋体" w:hAnsi="宋体" w:cs="宋体"/>
          <w:sz w:val="20"/>
          <w:szCs w:val="22"/>
        </w:rPr>
      </w:pPr>
      <w:r>
        <w:rPr>
          <w:rFonts w:hint="eastAsia" w:ascii="宋体" w:hAnsi="宋体" w:cs="宋体"/>
          <w:sz w:val="20"/>
          <w:szCs w:val="22"/>
        </w:rPr>
        <w:t>1)供应商未被列入“信用中国”网站(www.creditchina.gov.cn)“记录失信被执行人或严重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5084371C">
      <w:pPr>
        <w:rPr>
          <w:rFonts w:ascii="宋体" w:hAnsi="宋体" w:cs="宋体"/>
          <w:sz w:val="20"/>
          <w:szCs w:val="22"/>
        </w:rPr>
      </w:pPr>
      <w:r>
        <w:rPr>
          <w:rFonts w:hint="eastAsia" w:ascii="宋体" w:hAnsi="宋体" w:cs="宋体"/>
          <w:sz w:val="20"/>
          <w:szCs w:val="22"/>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依据投标函相关承诺要求内容。</w:t>
      </w:r>
    </w:p>
    <w:p w14:paraId="1C124C27">
      <w:pPr>
        <w:rPr>
          <w:rFonts w:ascii="宋体" w:hAnsi="宋体" w:cs="宋体"/>
          <w:sz w:val="20"/>
          <w:szCs w:val="22"/>
        </w:rPr>
      </w:pPr>
    </w:p>
    <w:p w14:paraId="62288447">
      <w:pPr>
        <w:rPr>
          <w:rFonts w:ascii="宋体" w:hAnsi="宋体" w:cs="宋体"/>
          <w:sz w:val="20"/>
          <w:szCs w:val="22"/>
        </w:rPr>
      </w:pPr>
      <w:r>
        <w:rPr>
          <w:rFonts w:hint="eastAsia" w:ascii="宋体" w:hAnsi="宋体" w:cs="宋体"/>
          <w:sz w:val="20"/>
          <w:szCs w:val="22"/>
        </w:rPr>
        <w:t>采购包2(婴儿培养箱采购项目):</w:t>
      </w:r>
    </w:p>
    <w:p w14:paraId="77327541">
      <w:pPr>
        <w:rPr>
          <w:rFonts w:ascii="宋体" w:hAnsi="宋体" w:cs="宋体"/>
          <w:sz w:val="20"/>
          <w:szCs w:val="22"/>
        </w:rPr>
      </w:pPr>
      <w:r>
        <w:rPr>
          <w:rFonts w:hint="eastAsia" w:ascii="宋体" w:hAnsi="宋体" w:cs="宋体"/>
          <w:sz w:val="20"/>
          <w:szCs w:val="22"/>
        </w:rPr>
        <w:t>1)供应商未被列入“信用中国”网站(www.creditchina.gov.cn)“记录失信被执行人或严重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BB44BCA">
      <w:pPr>
        <w:pStyle w:val="25"/>
        <w:ind w:firstLine="400" w:firstLineChars="200"/>
        <w:outlineLvl w:val="2"/>
        <w:rPr>
          <w:rFonts w:hint="default"/>
          <w:b/>
          <w:sz w:val="28"/>
        </w:rPr>
      </w:pPr>
      <w:r>
        <w:rPr>
          <w:rFonts w:ascii="宋体" w:hAnsi="宋体" w:cs="宋体"/>
          <w:szCs w:val="22"/>
        </w:rPr>
        <w:t xml:space="preserve">2)单位负责人为同一人或者存在直接控股、 管理关系的不同供应商，不得同时参加本采购项目（或采购包） 投标（响应）。 为本项目提供整体设计、 规范编制或者项目管理、 监理、 检测等服务的供应商， 不得再参与本项目投标（响应）。 </w:t>
      </w:r>
      <w:r>
        <w:rPr>
          <w:rFonts w:ascii="宋体" w:hAnsi="宋体" w:cs="宋体"/>
          <w:szCs w:val="22"/>
          <w:lang w:eastAsia="zh-CN"/>
        </w:rPr>
        <w:t>依据</w:t>
      </w:r>
      <w:r>
        <w:rPr>
          <w:rFonts w:ascii="宋体" w:hAnsi="宋体" w:cs="宋体"/>
          <w:szCs w:val="22"/>
        </w:rPr>
        <w:t>投标函相关承诺要求内容。</w:t>
      </w:r>
    </w:p>
    <w:p w14:paraId="72AA1070">
      <w:pPr>
        <w:pStyle w:val="25"/>
        <w:outlineLvl w:val="2"/>
        <w:rPr>
          <w:rFonts w:hint="default"/>
        </w:rPr>
      </w:pPr>
      <w:r>
        <w:rPr>
          <w:b/>
          <w:sz w:val="28"/>
        </w:rPr>
        <w:t>三</w:t>
      </w:r>
      <w:r>
        <w:rPr>
          <w:b/>
          <w:sz w:val="28"/>
          <w:lang w:eastAsia="zh-CN"/>
        </w:rPr>
        <w:t>、</w:t>
      </w:r>
      <w:r>
        <w:rPr>
          <w:b/>
          <w:sz w:val="28"/>
        </w:rPr>
        <w:t>获取招标文件</w:t>
      </w:r>
    </w:p>
    <w:p w14:paraId="2B5A7315">
      <w:pPr>
        <w:pStyle w:val="25"/>
        <w:ind w:firstLine="480"/>
        <w:rPr>
          <w:rFonts w:hint="default"/>
        </w:rPr>
      </w:pPr>
      <w:r>
        <w:t>时间：详见招标公告及其变更公告（如有）</w:t>
      </w:r>
    </w:p>
    <w:p w14:paraId="6D6A089D">
      <w:pPr>
        <w:pStyle w:val="25"/>
        <w:ind w:firstLine="480"/>
        <w:rPr>
          <w:rFonts w:hint="default"/>
        </w:rPr>
      </w:pPr>
      <w:r>
        <w:t>地点：详见招标公告及其变更公告（如有）</w:t>
      </w:r>
    </w:p>
    <w:p w14:paraId="45224C5B">
      <w:pPr>
        <w:pStyle w:val="25"/>
        <w:ind w:firstLine="480"/>
        <w:rPr>
          <w:rFonts w:hint="default"/>
        </w:rPr>
      </w:pPr>
      <w:r>
        <w:t>获取方式：详见“其他补充事宜”</w:t>
      </w:r>
    </w:p>
    <w:p w14:paraId="1EBB3F72">
      <w:pPr>
        <w:pStyle w:val="25"/>
        <w:ind w:firstLine="480"/>
        <w:rPr>
          <w:rFonts w:hint="default"/>
        </w:rPr>
      </w:pPr>
      <w:r>
        <w:t>售价：￥300.0元。</w:t>
      </w:r>
    </w:p>
    <w:p w14:paraId="54993394">
      <w:pPr>
        <w:pStyle w:val="25"/>
        <w:outlineLvl w:val="2"/>
        <w:rPr>
          <w:rFonts w:hint="default"/>
        </w:rPr>
      </w:pPr>
      <w:r>
        <w:rPr>
          <w:b/>
          <w:sz w:val="28"/>
        </w:rPr>
        <w:t>四</w:t>
      </w:r>
      <w:r>
        <w:rPr>
          <w:b/>
          <w:sz w:val="28"/>
          <w:lang w:eastAsia="zh-CN"/>
        </w:rPr>
        <w:t>、</w:t>
      </w:r>
      <w:r>
        <w:rPr>
          <w:b/>
          <w:sz w:val="28"/>
        </w:rPr>
        <w:t>提交投标文件截止时间、开标时间和地点：</w:t>
      </w:r>
    </w:p>
    <w:p w14:paraId="42C8E6F7">
      <w:pPr>
        <w:pStyle w:val="25"/>
        <w:ind w:firstLine="480"/>
        <w:rPr>
          <w:rFonts w:hint="default"/>
        </w:rPr>
      </w:pPr>
      <w:r>
        <w:t xml:space="preserve"> 提交投标文件截止时间和开标时间：详见招标公告及其变更公告（如有）</w:t>
      </w:r>
    </w:p>
    <w:p w14:paraId="4EA005B8">
      <w:pPr>
        <w:pStyle w:val="25"/>
        <w:ind w:firstLine="480"/>
        <w:rPr>
          <w:rFonts w:hint="default"/>
        </w:rPr>
      </w:pPr>
      <w:r>
        <w:t xml:space="preserve"> （自招标文件开始发出之日起至投标人提交投标文件截止之日止，不得少于20日）</w:t>
      </w:r>
    </w:p>
    <w:p w14:paraId="624217D8">
      <w:pPr>
        <w:pStyle w:val="25"/>
        <w:ind w:firstLine="480"/>
        <w:rPr>
          <w:rFonts w:hint="default"/>
        </w:rPr>
      </w:pPr>
      <w:r>
        <w:t xml:space="preserve"> 地点：详见招标公告及其变更公告（如有）</w:t>
      </w:r>
    </w:p>
    <w:p w14:paraId="1150DE25">
      <w:pPr>
        <w:pStyle w:val="25"/>
        <w:outlineLvl w:val="2"/>
        <w:rPr>
          <w:rFonts w:hint="default"/>
        </w:rPr>
      </w:pPr>
      <w:r>
        <w:rPr>
          <w:b/>
          <w:sz w:val="28"/>
        </w:rPr>
        <w:t>五</w:t>
      </w:r>
      <w:r>
        <w:rPr>
          <w:b/>
          <w:sz w:val="28"/>
          <w:lang w:eastAsia="zh-CN"/>
        </w:rPr>
        <w:t>、</w:t>
      </w:r>
      <w:r>
        <w:rPr>
          <w:b/>
          <w:sz w:val="28"/>
        </w:rPr>
        <w:t>公告期限：</w:t>
      </w:r>
    </w:p>
    <w:p w14:paraId="37B9FD8F">
      <w:pPr>
        <w:pStyle w:val="25"/>
        <w:ind w:firstLine="480"/>
        <w:rPr>
          <w:rFonts w:hint="default"/>
        </w:rPr>
      </w:pPr>
      <w:r>
        <w:t xml:space="preserve"> 1、公告期限：自本公告发布之日起不得少于5个工作日。</w:t>
      </w:r>
    </w:p>
    <w:p w14:paraId="4389D535">
      <w:pPr>
        <w:spacing w:line="360" w:lineRule="auto"/>
        <w:outlineLvl w:val="1"/>
        <w:rPr>
          <w:b/>
          <w:kern w:val="0"/>
          <w:sz w:val="28"/>
          <w:szCs w:val="20"/>
          <w:lang w:eastAsia="zh-Hans"/>
        </w:rPr>
      </w:pPr>
      <w:bookmarkStart w:id="3" w:name="_Toc8290"/>
      <w:bookmarkStart w:id="4" w:name="_Toc14601"/>
      <w:bookmarkStart w:id="5" w:name="_Toc4537"/>
      <w:r>
        <w:rPr>
          <w:rFonts w:hint="eastAsia"/>
          <w:b/>
          <w:kern w:val="0"/>
          <w:sz w:val="28"/>
          <w:szCs w:val="20"/>
          <w:lang w:eastAsia="zh-Hans"/>
        </w:rPr>
        <w:t>六、其他补充事宜</w:t>
      </w:r>
      <w:bookmarkEnd w:id="3"/>
      <w:bookmarkEnd w:id="4"/>
      <w:bookmarkEnd w:id="5"/>
    </w:p>
    <w:p w14:paraId="1CC9732B">
      <w:pPr>
        <w:wordWrap w:val="0"/>
        <w:ind w:firstLine="400" w:firstLineChars="200"/>
        <w:jc w:val="left"/>
        <w:rPr>
          <w:kern w:val="0"/>
          <w:sz w:val="20"/>
          <w:szCs w:val="20"/>
          <w:lang w:eastAsia="zh-Hans"/>
        </w:rPr>
      </w:pPr>
      <w:r>
        <w:rPr>
          <w:rFonts w:hint="eastAsia"/>
          <w:kern w:val="0"/>
          <w:sz w:val="20"/>
          <w:szCs w:val="20"/>
          <w:lang w:eastAsia="zh-Hans"/>
        </w:rPr>
        <w:t>1</w:t>
      </w:r>
      <w:r>
        <w:rPr>
          <w:rFonts w:hint="eastAsia"/>
          <w:kern w:val="0"/>
          <w:sz w:val="20"/>
          <w:szCs w:val="20"/>
        </w:rPr>
        <w:t>.</w:t>
      </w:r>
      <w:r>
        <w:rPr>
          <w:rFonts w:hint="eastAsia"/>
          <w:kern w:val="0"/>
          <w:sz w:val="20"/>
          <w:szCs w:val="20"/>
          <w:lang w:eastAsia="zh-Hans"/>
        </w:rPr>
        <w:t>本项目采用网上报名的方式，供应商应登入中易电子交易平台（http://www.cotenders.cn），点击网站右上方“注册”进入系统注册，注册通过后（已注册的无需重复注册）选择报名的项目公告。</w:t>
      </w:r>
    </w:p>
    <w:p w14:paraId="35795183">
      <w:pPr>
        <w:wordWrap w:val="0"/>
        <w:ind w:firstLine="400" w:firstLineChars="200"/>
        <w:jc w:val="left"/>
        <w:rPr>
          <w:kern w:val="0"/>
          <w:sz w:val="20"/>
          <w:szCs w:val="20"/>
          <w:lang w:eastAsia="zh-Hans"/>
        </w:rPr>
      </w:pPr>
      <w:r>
        <w:rPr>
          <w:rFonts w:hint="eastAsia"/>
          <w:kern w:val="0"/>
          <w:sz w:val="20"/>
          <w:szCs w:val="20"/>
          <w:lang w:eastAsia="zh-Hans"/>
        </w:rPr>
        <w:t>2</w:t>
      </w:r>
      <w:r>
        <w:rPr>
          <w:rFonts w:hint="eastAsia"/>
          <w:kern w:val="0"/>
          <w:sz w:val="20"/>
          <w:szCs w:val="20"/>
        </w:rPr>
        <w:t>.</w:t>
      </w:r>
      <w:r>
        <w:rPr>
          <w:rFonts w:hint="eastAsia"/>
          <w:kern w:val="0"/>
          <w:sz w:val="20"/>
          <w:szCs w:val="20"/>
          <w:lang w:eastAsia="zh-Hans"/>
        </w:rPr>
        <w:t>参加本项目报名的企业前往</w:t>
      </w:r>
      <w:r>
        <w:rPr>
          <w:rFonts w:hint="eastAsia"/>
          <w:kern w:val="0"/>
          <w:sz w:val="20"/>
          <w:szCs w:val="20"/>
        </w:rPr>
        <w:t>惠州市中弘咨询管理有限公司</w:t>
      </w:r>
      <w:r>
        <w:rPr>
          <w:rFonts w:hint="eastAsia"/>
          <w:kern w:val="0"/>
          <w:sz w:val="20"/>
          <w:szCs w:val="20"/>
          <w:lang w:eastAsia="zh-Hans"/>
        </w:rPr>
        <w:t>（详细地址：</w:t>
      </w:r>
      <w:r>
        <w:rPr>
          <w:rFonts w:hint="eastAsia"/>
          <w:kern w:val="0"/>
          <w:sz w:val="20"/>
          <w:szCs w:val="20"/>
        </w:rPr>
        <w:t>惠州市江北云山西路10号投资大厦2楼惠州市中弘咨询管理有限公司</w:t>
      </w:r>
      <w:r>
        <w:rPr>
          <w:rFonts w:hint="eastAsia"/>
          <w:kern w:val="0"/>
          <w:sz w:val="20"/>
          <w:szCs w:val="20"/>
          <w:lang w:eastAsia="zh-Hans"/>
        </w:rPr>
        <w:t>）</w:t>
      </w:r>
      <w:r>
        <w:rPr>
          <w:rFonts w:hint="eastAsia"/>
          <w:kern w:val="0"/>
          <w:sz w:val="20"/>
          <w:szCs w:val="20"/>
        </w:rPr>
        <w:t>递交报名资料</w:t>
      </w:r>
      <w:r>
        <w:rPr>
          <w:rFonts w:hint="eastAsia"/>
          <w:kern w:val="0"/>
          <w:sz w:val="20"/>
          <w:szCs w:val="20"/>
          <w:lang w:eastAsia="zh-Hans"/>
        </w:rPr>
        <w:t>，或将</w:t>
      </w:r>
      <w:r>
        <w:rPr>
          <w:rFonts w:hint="eastAsia"/>
          <w:kern w:val="0"/>
          <w:sz w:val="20"/>
          <w:szCs w:val="20"/>
        </w:rPr>
        <w:t>报名资料</w:t>
      </w:r>
      <w:r>
        <w:rPr>
          <w:rFonts w:hint="eastAsia"/>
          <w:kern w:val="0"/>
          <w:sz w:val="20"/>
          <w:szCs w:val="20"/>
          <w:lang w:eastAsia="zh-Hans"/>
        </w:rPr>
        <w:t>发送至</w:t>
      </w:r>
      <w:r>
        <w:rPr>
          <w:rFonts w:hint="eastAsia"/>
          <w:kern w:val="0"/>
          <w:sz w:val="20"/>
          <w:szCs w:val="20"/>
        </w:rPr>
        <w:t>HZSZHZX@163.COM</w:t>
      </w:r>
      <w:r>
        <w:rPr>
          <w:rFonts w:hint="eastAsia"/>
          <w:kern w:val="0"/>
          <w:sz w:val="20"/>
          <w:szCs w:val="20"/>
          <w:lang w:eastAsia="zh-Hans"/>
        </w:rPr>
        <w:t>进行登记报名，报名费300，售后不退。</w:t>
      </w:r>
      <w:r>
        <w:rPr>
          <w:rFonts w:hint="eastAsia"/>
          <w:b/>
          <w:bCs/>
          <w:kern w:val="0"/>
          <w:sz w:val="20"/>
          <w:szCs w:val="20"/>
          <w:lang w:eastAsia="zh-Hans"/>
        </w:rPr>
        <w:t>报名资料</w:t>
      </w:r>
      <w:r>
        <w:rPr>
          <w:rFonts w:hint="eastAsia"/>
          <w:kern w:val="0"/>
          <w:sz w:val="20"/>
          <w:szCs w:val="20"/>
          <w:lang w:eastAsia="zh-Hans"/>
        </w:rPr>
        <w:t>提交后，供应商再进行网上确认报名即为报名成功。</w:t>
      </w:r>
    </w:p>
    <w:p w14:paraId="3383A12D">
      <w:pPr>
        <w:wordWrap w:val="0"/>
        <w:ind w:firstLine="400" w:firstLineChars="200"/>
        <w:jc w:val="left"/>
        <w:rPr>
          <w:kern w:val="0"/>
          <w:sz w:val="20"/>
          <w:szCs w:val="20"/>
          <w:lang w:eastAsia="zh-Hans"/>
        </w:rPr>
      </w:pPr>
      <w:r>
        <w:rPr>
          <w:rFonts w:hint="eastAsia"/>
          <w:kern w:val="0"/>
          <w:sz w:val="20"/>
          <w:szCs w:val="20"/>
        </w:rPr>
        <w:t>3</w:t>
      </w:r>
      <w:r>
        <w:rPr>
          <w:rFonts w:hint="eastAsia"/>
          <w:kern w:val="0"/>
          <w:sz w:val="20"/>
          <w:szCs w:val="20"/>
          <w:lang w:eastAsia="zh-Hans"/>
        </w:rPr>
        <w:t>.已获取招标文件的</w:t>
      </w:r>
      <w:r>
        <w:rPr>
          <w:rFonts w:hint="eastAsia"/>
          <w:kern w:val="0"/>
          <w:sz w:val="20"/>
          <w:szCs w:val="20"/>
        </w:rPr>
        <w:t>投标人</w:t>
      </w:r>
      <w:r>
        <w:rPr>
          <w:rFonts w:hint="eastAsia"/>
          <w:kern w:val="0"/>
          <w:sz w:val="20"/>
          <w:szCs w:val="20"/>
          <w:lang w:eastAsia="zh-Hans"/>
        </w:rPr>
        <w:t>参加投标的，不代表通过资格性审查或符合性审查。</w:t>
      </w:r>
    </w:p>
    <w:p w14:paraId="247AC3FB">
      <w:pPr>
        <w:wordWrap w:val="0"/>
        <w:ind w:firstLine="400" w:firstLineChars="200"/>
        <w:jc w:val="left"/>
        <w:rPr>
          <w:kern w:val="0"/>
          <w:sz w:val="20"/>
          <w:szCs w:val="20"/>
          <w:lang w:eastAsia="zh-Hans"/>
        </w:rPr>
      </w:pPr>
      <w:r>
        <w:rPr>
          <w:rFonts w:hint="eastAsia"/>
          <w:kern w:val="0"/>
          <w:sz w:val="20"/>
          <w:szCs w:val="20"/>
        </w:rPr>
        <w:t>4</w:t>
      </w:r>
      <w:r>
        <w:rPr>
          <w:rFonts w:hint="eastAsia"/>
          <w:kern w:val="0"/>
          <w:sz w:val="20"/>
          <w:szCs w:val="20"/>
          <w:lang w:eastAsia="zh-Hans"/>
        </w:rPr>
        <w:t>.电子投标文件上传及操作流程，投标人应登入中易电子交易平台“</w:t>
      </w:r>
      <w:r>
        <w:rPr>
          <w:rFonts w:hint="eastAsia"/>
          <w:kern w:val="0"/>
          <w:sz w:val="20"/>
          <w:szCs w:val="20"/>
          <w:lang w:val="zh-CN" w:eastAsia="zh-Hans"/>
        </w:rPr>
        <w:t>服务指南</w:t>
      </w:r>
      <w:r>
        <w:rPr>
          <w:rFonts w:hint="eastAsia"/>
          <w:kern w:val="0"/>
          <w:sz w:val="20"/>
          <w:szCs w:val="20"/>
          <w:lang w:eastAsia="zh-Hans"/>
        </w:rPr>
        <w:t>-</w:t>
      </w:r>
      <w:r>
        <w:rPr>
          <w:rFonts w:hint="eastAsia"/>
          <w:kern w:val="0"/>
          <w:sz w:val="20"/>
          <w:szCs w:val="20"/>
          <w:lang w:val="zh-CN" w:eastAsia="zh-Hans"/>
        </w:rPr>
        <w:t>办事指南</w:t>
      </w:r>
      <w:r>
        <w:rPr>
          <w:rFonts w:hint="eastAsia"/>
          <w:kern w:val="0"/>
          <w:sz w:val="20"/>
          <w:szCs w:val="20"/>
          <w:lang w:eastAsia="zh-Hans"/>
        </w:rPr>
        <w:t>”查看投标人操作指南。</w:t>
      </w:r>
    </w:p>
    <w:p w14:paraId="27476A1D">
      <w:pPr>
        <w:wordWrap w:val="0"/>
        <w:ind w:firstLine="400" w:firstLineChars="200"/>
        <w:jc w:val="left"/>
        <w:rPr>
          <w:kern w:val="0"/>
          <w:sz w:val="20"/>
          <w:szCs w:val="20"/>
          <w:lang w:val="zh-CN" w:eastAsia="zh-Hans"/>
        </w:rPr>
      </w:pPr>
      <w:r>
        <w:rPr>
          <w:rFonts w:hint="eastAsia"/>
          <w:kern w:val="0"/>
          <w:sz w:val="20"/>
          <w:szCs w:val="20"/>
          <w:lang w:val="zh-CN" w:eastAsia="zh-Hans"/>
        </w:rPr>
        <w:t>5.开标时，投标人自行登录中易电子交易平台“服务指南-办事指南”查看投标人操作指南，因自身操作错误或其他原因导致没有参与线上开标，没有在招标文件规定的截止时间进行签到、解密、确认开标一览表等操作，后果自负。</w:t>
      </w:r>
    </w:p>
    <w:p w14:paraId="2E17367B">
      <w:pPr>
        <w:wordWrap w:val="0"/>
        <w:ind w:firstLine="400" w:firstLineChars="200"/>
        <w:jc w:val="left"/>
        <w:rPr>
          <w:kern w:val="0"/>
          <w:sz w:val="20"/>
          <w:szCs w:val="20"/>
          <w:lang w:val="zh-CN" w:eastAsia="zh-Hans"/>
        </w:rPr>
      </w:pPr>
      <w:r>
        <w:rPr>
          <w:rFonts w:hint="eastAsia"/>
          <w:kern w:val="0"/>
          <w:sz w:val="20"/>
          <w:szCs w:val="20"/>
          <w:lang w:val="zh-CN" w:eastAsia="zh-Hans"/>
        </w:rPr>
        <w:t>6.投标人签到时间：</w:t>
      </w:r>
      <w:r>
        <w:rPr>
          <w:rFonts w:hint="eastAsia"/>
          <w:b/>
          <w:bCs/>
          <w:kern w:val="0"/>
          <w:sz w:val="20"/>
          <w:szCs w:val="20"/>
          <w:lang w:val="zh-CN" w:eastAsia="zh-Hans"/>
        </w:rPr>
        <w:t>202</w:t>
      </w:r>
      <w:r>
        <w:rPr>
          <w:rFonts w:hint="eastAsia"/>
          <w:b/>
          <w:bCs/>
          <w:kern w:val="0"/>
          <w:sz w:val="20"/>
          <w:szCs w:val="20"/>
        </w:rPr>
        <w:t>6</w:t>
      </w:r>
      <w:r>
        <w:rPr>
          <w:rFonts w:hint="eastAsia"/>
          <w:b/>
          <w:bCs/>
          <w:kern w:val="0"/>
          <w:sz w:val="20"/>
          <w:szCs w:val="20"/>
          <w:lang w:val="zh-CN" w:eastAsia="zh-Hans"/>
        </w:rPr>
        <w:t>年</w:t>
      </w:r>
      <w:r>
        <w:rPr>
          <w:rFonts w:hint="eastAsia"/>
          <w:b/>
          <w:bCs/>
          <w:kern w:val="0"/>
          <w:sz w:val="20"/>
          <w:szCs w:val="20"/>
          <w:lang w:val="en-US" w:eastAsia="zh-CN"/>
        </w:rPr>
        <w:t>04</w:t>
      </w:r>
      <w:r>
        <w:rPr>
          <w:rFonts w:hint="eastAsia"/>
          <w:b/>
          <w:bCs/>
          <w:kern w:val="0"/>
          <w:sz w:val="20"/>
          <w:szCs w:val="20"/>
          <w:lang w:val="zh-CN" w:eastAsia="zh-Hans"/>
        </w:rPr>
        <w:t>月</w:t>
      </w:r>
      <w:r>
        <w:rPr>
          <w:rFonts w:hint="eastAsia"/>
          <w:b/>
          <w:bCs/>
          <w:kern w:val="0"/>
          <w:sz w:val="20"/>
          <w:szCs w:val="20"/>
          <w:lang w:val="en-US" w:eastAsia="zh-CN"/>
        </w:rPr>
        <w:t>14</w:t>
      </w:r>
      <w:r>
        <w:rPr>
          <w:rFonts w:hint="eastAsia"/>
          <w:b/>
          <w:bCs/>
          <w:kern w:val="0"/>
          <w:sz w:val="20"/>
          <w:szCs w:val="20"/>
          <w:lang w:val="zh-CN" w:eastAsia="zh-Hans"/>
        </w:rPr>
        <w:t>日</w:t>
      </w:r>
      <w:r>
        <w:rPr>
          <w:rFonts w:hint="eastAsia"/>
          <w:b/>
          <w:bCs/>
          <w:kern w:val="0"/>
          <w:sz w:val="20"/>
          <w:szCs w:val="20"/>
          <w:lang w:val="en-US" w:eastAsia="zh-CN"/>
        </w:rPr>
        <w:t>14</w:t>
      </w:r>
      <w:r>
        <w:rPr>
          <w:rFonts w:hint="eastAsia"/>
          <w:b/>
          <w:bCs/>
          <w:kern w:val="0"/>
          <w:sz w:val="20"/>
          <w:szCs w:val="20"/>
          <w:lang w:val="zh-CN" w:eastAsia="zh-Hans"/>
        </w:rPr>
        <w:t>时</w:t>
      </w:r>
      <w:r>
        <w:rPr>
          <w:rFonts w:hint="eastAsia"/>
          <w:b/>
          <w:bCs/>
          <w:kern w:val="0"/>
          <w:sz w:val="20"/>
          <w:szCs w:val="20"/>
          <w:lang w:val="en-US" w:eastAsia="zh-CN"/>
        </w:rPr>
        <w:t>30</w:t>
      </w:r>
      <w:r>
        <w:rPr>
          <w:rFonts w:hint="eastAsia"/>
          <w:b/>
          <w:bCs/>
          <w:kern w:val="0"/>
          <w:sz w:val="20"/>
          <w:szCs w:val="20"/>
          <w:lang w:val="zh-CN" w:eastAsia="zh-Hans"/>
        </w:rPr>
        <w:t>分</w:t>
      </w:r>
      <w:r>
        <w:rPr>
          <w:rFonts w:hint="eastAsia"/>
          <w:kern w:val="0"/>
          <w:sz w:val="20"/>
          <w:szCs w:val="20"/>
          <w:lang w:val="zh-CN" w:eastAsia="zh-Hans"/>
        </w:rPr>
        <w:t>至</w:t>
      </w:r>
      <w:r>
        <w:rPr>
          <w:rFonts w:hint="eastAsia"/>
          <w:b/>
          <w:bCs/>
          <w:kern w:val="0"/>
          <w:sz w:val="20"/>
          <w:szCs w:val="20"/>
          <w:lang w:val="zh-CN" w:eastAsia="zh-Hans"/>
        </w:rPr>
        <w:t>202</w:t>
      </w:r>
      <w:r>
        <w:rPr>
          <w:rFonts w:hint="eastAsia"/>
          <w:b/>
          <w:bCs/>
          <w:kern w:val="0"/>
          <w:sz w:val="20"/>
          <w:szCs w:val="20"/>
        </w:rPr>
        <w:t>6</w:t>
      </w:r>
      <w:r>
        <w:rPr>
          <w:rFonts w:hint="eastAsia"/>
          <w:b/>
          <w:bCs/>
          <w:kern w:val="0"/>
          <w:sz w:val="20"/>
          <w:szCs w:val="20"/>
          <w:lang w:val="zh-CN" w:eastAsia="zh-Hans"/>
        </w:rPr>
        <w:t>年</w:t>
      </w:r>
      <w:r>
        <w:rPr>
          <w:rFonts w:hint="eastAsia"/>
          <w:b/>
          <w:bCs/>
          <w:kern w:val="0"/>
          <w:sz w:val="20"/>
          <w:szCs w:val="20"/>
          <w:lang w:val="en-US" w:eastAsia="zh-CN"/>
        </w:rPr>
        <w:t>04</w:t>
      </w:r>
      <w:r>
        <w:rPr>
          <w:rFonts w:hint="eastAsia"/>
          <w:b/>
          <w:bCs/>
          <w:kern w:val="0"/>
          <w:sz w:val="20"/>
          <w:szCs w:val="20"/>
          <w:lang w:val="zh-CN" w:eastAsia="zh-Hans"/>
        </w:rPr>
        <w:t>月</w:t>
      </w:r>
      <w:r>
        <w:rPr>
          <w:rFonts w:hint="eastAsia"/>
          <w:b/>
          <w:bCs/>
          <w:kern w:val="0"/>
          <w:sz w:val="20"/>
          <w:szCs w:val="20"/>
          <w:lang w:val="en-US" w:eastAsia="zh-CN"/>
        </w:rPr>
        <w:t>14</w:t>
      </w:r>
      <w:r>
        <w:rPr>
          <w:rFonts w:hint="eastAsia"/>
          <w:b/>
          <w:bCs/>
          <w:kern w:val="0"/>
          <w:sz w:val="20"/>
          <w:szCs w:val="20"/>
          <w:lang w:val="zh-CN" w:eastAsia="zh-Hans"/>
        </w:rPr>
        <w:t>日</w:t>
      </w:r>
      <w:r>
        <w:rPr>
          <w:rFonts w:hint="eastAsia"/>
          <w:b/>
          <w:bCs/>
          <w:kern w:val="0"/>
          <w:sz w:val="20"/>
          <w:szCs w:val="20"/>
          <w:lang w:val="en-US" w:eastAsia="zh-CN"/>
        </w:rPr>
        <w:t>15</w:t>
      </w:r>
      <w:r>
        <w:rPr>
          <w:rFonts w:hint="eastAsia"/>
          <w:b/>
          <w:bCs/>
          <w:kern w:val="0"/>
          <w:sz w:val="20"/>
          <w:szCs w:val="20"/>
          <w:lang w:val="zh-CN" w:eastAsia="zh-Hans"/>
        </w:rPr>
        <w:t>时</w:t>
      </w:r>
      <w:r>
        <w:rPr>
          <w:rFonts w:hint="eastAsia"/>
          <w:b/>
          <w:bCs/>
          <w:kern w:val="0"/>
          <w:sz w:val="20"/>
          <w:szCs w:val="20"/>
          <w:lang w:val="en-US" w:eastAsia="zh-CN"/>
        </w:rPr>
        <w:t>00</w:t>
      </w:r>
      <w:r>
        <w:rPr>
          <w:rFonts w:hint="eastAsia"/>
          <w:b/>
          <w:bCs/>
          <w:kern w:val="0"/>
          <w:sz w:val="20"/>
          <w:szCs w:val="20"/>
          <w:lang w:val="zh-CN" w:eastAsia="zh-Hans"/>
        </w:rPr>
        <w:t>分</w:t>
      </w:r>
      <w:r>
        <w:rPr>
          <w:rFonts w:hint="eastAsia"/>
          <w:kern w:val="0"/>
          <w:sz w:val="20"/>
          <w:szCs w:val="20"/>
          <w:lang w:val="zh-CN" w:eastAsia="zh-Hans"/>
        </w:rPr>
        <w:t>，投标人未在规定时间内进行网上签到作无效投标处理。</w:t>
      </w:r>
    </w:p>
    <w:p w14:paraId="6B48704C">
      <w:pPr>
        <w:wordWrap w:val="0"/>
        <w:ind w:firstLine="400" w:firstLineChars="200"/>
        <w:jc w:val="left"/>
        <w:rPr>
          <w:kern w:val="0"/>
          <w:sz w:val="20"/>
          <w:szCs w:val="20"/>
          <w:lang w:val="zh-CN" w:eastAsia="zh-Hans"/>
        </w:rPr>
      </w:pPr>
      <w:r>
        <w:rPr>
          <w:rFonts w:hint="eastAsia"/>
          <w:kern w:val="0"/>
          <w:sz w:val="20"/>
          <w:szCs w:val="20"/>
          <w:lang w:val="zh-CN" w:eastAsia="zh-Hans"/>
        </w:rPr>
        <w:t>7.投标文件解密时间：</w:t>
      </w:r>
      <w:r>
        <w:rPr>
          <w:rFonts w:hint="eastAsia"/>
          <w:b/>
          <w:bCs/>
          <w:kern w:val="0"/>
          <w:sz w:val="20"/>
          <w:szCs w:val="20"/>
          <w:lang w:val="zh-CN" w:eastAsia="zh-Hans"/>
        </w:rPr>
        <w:t>202</w:t>
      </w:r>
      <w:r>
        <w:rPr>
          <w:rFonts w:hint="eastAsia"/>
          <w:b/>
          <w:bCs/>
          <w:kern w:val="0"/>
          <w:sz w:val="20"/>
          <w:szCs w:val="20"/>
        </w:rPr>
        <w:t>6</w:t>
      </w:r>
      <w:r>
        <w:rPr>
          <w:rFonts w:hint="eastAsia"/>
          <w:b/>
          <w:bCs/>
          <w:kern w:val="0"/>
          <w:sz w:val="20"/>
          <w:szCs w:val="20"/>
          <w:lang w:val="zh-CN" w:eastAsia="zh-Hans"/>
        </w:rPr>
        <w:t>年</w:t>
      </w:r>
      <w:r>
        <w:rPr>
          <w:rFonts w:hint="eastAsia"/>
          <w:b/>
          <w:bCs/>
          <w:kern w:val="0"/>
          <w:sz w:val="20"/>
          <w:szCs w:val="20"/>
          <w:lang w:val="en-US" w:eastAsia="zh-CN"/>
        </w:rPr>
        <w:t>04</w:t>
      </w:r>
      <w:r>
        <w:rPr>
          <w:rFonts w:hint="eastAsia"/>
          <w:b/>
          <w:bCs/>
          <w:kern w:val="0"/>
          <w:sz w:val="20"/>
          <w:szCs w:val="20"/>
          <w:lang w:val="zh-CN" w:eastAsia="zh-Hans"/>
        </w:rPr>
        <w:t>月</w:t>
      </w:r>
      <w:r>
        <w:rPr>
          <w:rFonts w:hint="eastAsia"/>
          <w:b/>
          <w:bCs/>
          <w:kern w:val="0"/>
          <w:sz w:val="20"/>
          <w:szCs w:val="20"/>
          <w:lang w:val="en-US" w:eastAsia="zh-CN"/>
        </w:rPr>
        <w:t>14</w:t>
      </w:r>
      <w:r>
        <w:rPr>
          <w:rFonts w:hint="eastAsia"/>
          <w:b/>
          <w:bCs/>
          <w:kern w:val="0"/>
          <w:sz w:val="20"/>
          <w:szCs w:val="20"/>
          <w:lang w:val="zh-CN" w:eastAsia="zh-Hans"/>
        </w:rPr>
        <w:t>日</w:t>
      </w:r>
      <w:r>
        <w:rPr>
          <w:rFonts w:hint="eastAsia"/>
          <w:b/>
          <w:bCs/>
          <w:kern w:val="0"/>
          <w:sz w:val="20"/>
          <w:szCs w:val="20"/>
          <w:lang w:val="en-US" w:eastAsia="zh-CN"/>
        </w:rPr>
        <w:t>15</w:t>
      </w:r>
      <w:r>
        <w:rPr>
          <w:rFonts w:hint="eastAsia"/>
          <w:b/>
          <w:bCs/>
          <w:kern w:val="0"/>
          <w:sz w:val="20"/>
          <w:szCs w:val="20"/>
          <w:lang w:val="zh-CN" w:eastAsia="zh-Hans"/>
        </w:rPr>
        <w:t>时</w:t>
      </w:r>
      <w:r>
        <w:rPr>
          <w:rFonts w:hint="eastAsia"/>
          <w:b/>
          <w:bCs/>
          <w:kern w:val="0"/>
          <w:sz w:val="20"/>
          <w:szCs w:val="20"/>
          <w:lang w:val="en-US" w:eastAsia="zh-CN"/>
        </w:rPr>
        <w:t>00</w:t>
      </w:r>
      <w:r>
        <w:rPr>
          <w:rFonts w:hint="eastAsia"/>
          <w:b/>
          <w:bCs/>
          <w:kern w:val="0"/>
          <w:sz w:val="20"/>
          <w:szCs w:val="20"/>
          <w:lang w:val="zh-CN" w:eastAsia="zh-Hans"/>
        </w:rPr>
        <w:t>分</w:t>
      </w:r>
      <w:r>
        <w:rPr>
          <w:rFonts w:hint="eastAsia"/>
          <w:kern w:val="0"/>
          <w:sz w:val="20"/>
          <w:szCs w:val="20"/>
          <w:lang w:val="zh-CN" w:eastAsia="zh-Hans"/>
        </w:rPr>
        <w:t>开始解密。（30分钟，具体情况根据开标时现场代理机构人员设置为准）</w:t>
      </w:r>
      <w:bookmarkStart w:id="18" w:name="_GoBack"/>
      <w:bookmarkEnd w:id="18"/>
    </w:p>
    <w:p w14:paraId="7C92BDCC">
      <w:pPr>
        <w:wordWrap w:val="0"/>
        <w:jc w:val="left"/>
      </w:pPr>
      <w:r>
        <w:rPr>
          <w:rFonts w:hint="eastAsia"/>
          <w:b/>
          <w:sz w:val="28"/>
        </w:rPr>
        <w:t>七、</w:t>
      </w:r>
      <w:r>
        <w:rPr>
          <w:b/>
          <w:sz w:val="28"/>
        </w:rPr>
        <w:t>本项目联系方式：</w:t>
      </w:r>
    </w:p>
    <w:p w14:paraId="78383746">
      <w:pPr>
        <w:pStyle w:val="25"/>
        <w:ind w:firstLine="480"/>
        <w:rPr>
          <w:rFonts w:hint="default"/>
        </w:rPr>
      </w:pPr>
      <w:r>
        <w:t>1.采购人信息</w:t>
      </w:r>
    </w:p>
    <w:p w14:paraId="11B014C4">
      <w:pPr>
        <w:pStyle w:val="25"/>
        <w:ind w:firstLine="480"/>
        <w:rPr>
          <w:rFonts w:hint="default"/>
          <w:lang w:eastAsia="zh-CN"/>
        </w:rPr>
      </w:pPr>
      <w:r>
        <w:t>名称：</w:t>
      </w:r>
      <w:r>
        <w:rPr>
          <w:lang w:eastAsia="zh-CN"/>
        </w:rPr>
        <w:t>惠州市第一人民医院</w:t>
      </w:r>
    </w:p>
    <w:p w14:paraId="0E2619E3">
      <w:pPr>
        <w:pStyle w:val="25"/>
        <w:ind w:firstLine="480"/>
        <w:rPr>
          <w:rFonts w:hint="default"/>
        </w:rPr>
      </w:pPr>
      <w:r>
        <w:t>地址：惠州市江北三新南路20号</w:t>
      </w:r>
    </w:p>
    <w:p w14:paraId="615DC05F">
      <w:pPr>
        <w:pStyle w:val="25"/>
        <w:ind w:firstLine="480"/>
        <w:rPr>
          <w:rFonts w:hint="default"/>
          <w:lang w:eastAsia="zh-CN"/>
        </w:rPr>
      </w:pPr>
      <w:r>
        <w:t>项目联系人：</w:t>
      </w:r>
      <w:r>
        <w:rPr>
          <w:rFonts w:hint="eastAsia"/>
          <w:lang w:val="en-US" w:eastAsia="zh-CN"/>
        </w:rPr>
        <w:t>范</w:t>
      </w:r>
      <w:r>
        <w:rPr>
          <w:lang w:eastAsia="zh-CN"/>
        </w:rPr>
        <w:t>工</w:t>
      </w:r>
    </w:p>
    <w:p w14:paraId="72A7A158">
      <w:pPr>
        <w:pStyle w:val="25"/>
        <w:ind w:firstLine="480"/>
        <w:rPr>
          <w:rFonts w:hint="default"/>
          <w:lang w:eastAsia="zh-CN"/>
        </w:rPr>
      </w:pPr>
      <w:r>
        <w:t>联系方式：</w:t>
      </w:r>
      <w:r>
        <w:rPr>
          <w:lang w:eastAsia="zh-CN"/>
        </w:rPr>
        <w:t>0752-2883434</w:t>
      </w:r>
    </w:p>
    <w:p w14:paraId="3898E101">
      <w:pPr>
        <w:pStyle w:val="25"/>
        <w:ind w:firstLine="480"/>
        <w:rPr>
          <w:rFonts w:hint="default"/>
        </w:rPr>
      </w:pPr>
      <w:r>
        <w:t>2.采购代理机构信息</w:t>
      </w:r>
    </w:p>
    <w:p w14:paraId="50AAC658">
      <w:pPr>
        <w:pStyle w:val="25"/>
        <w:ind w:firstLine="480"/>
        <w:rPr>
          <w:rFonts w:hint="default"/>
          <w:lang w:eastAsia="zh-CN"/>
        </w:rPr>
      </w:pPr>
      <w:r>
        <w:t>名称：</w:t>
      </w:r>
      <w:r>
        <w:rPr>
          <w:lang w:eastAsia="zh-CN"/>
        </w:rPr>
        <w:t>惠州市中弘咨询管理有限公司</w:t>
      </w:r>
    </w:p>
    <w:p w14:paraId="21D9BA8E">
      <w:pPr>
        <w:pStyle w:val="25"/>
        <w:ind w:firstLine="480"/>
        <w:rPr>
          <w:rFonts w:hint="default"/>
          <w:lang w:eastAsia="zh-CN"/>
        </w:rPr>
      </w:pPr>
      <w:r>
        <w:t>地址：</w:t>
      </w:r>
      <w:r>
        <w:rPr>
          <w:lang w:eastAsia="zh-CN"/>
        </w:rPr>
        <w:t>惠州市江北云山西路10号投资大厦2楼</w:t>
      </w:r>
    </w:p>
    <w:p w14:paraId="4CA9D6FA">
      <w:pPr>
        <w:pStyle w:val="25"/>
        <w:ind w:firstLine="480"/>
        <w:rPr>
          <w:rFonts w:hint="default"/>
          <w:lang w:eastAsia="zh-CN"/>
        </w:rPr>
      </w:pPr>
      <w:r>
        <w:t>联系方式：</w:t>
      </w:r>
      <w:r>
        <w:rPr>
          <w:lang w:eastAsia="zh-CN"/>
        </w:rPr>
        <w:t>0752-2817938</w:t>
      </w:r>
    </w:p>
    <w:p w14:paraId="670D66DF">
      <w:pPr>
        <w:pStyle w:val="25"/>
        <w:ind w:firstLine="480"/>
        <w:rPr>
          <w:rFonts w:hint="default"/>
        </w:rPr>
      </w:pPr>
      <w:r>
        <w:rPr>
          <w:lang w:eastAsia="zh-CN"/>
        </w:rPr>
        <w:t>3.</w:t>
      </w:r>
      <w:r>
        <w:t>交易平台：中易电子交易平台（http://www.cotenders.cn）</w:t>
      </w:r>
    </w:p>
    <w:p w14:paraId="1BC995B9">
      <w:pPr>
        <w:pStyle w:val="25"/>
        <w:ind w:firstLine="480"/>
        <w:rPr>
          <w:rFonts w:hint="default"/>
          <w:lang w:eastAsia="zh-CN"/>
        </w:rPr>
      </w:pPr>
      <w:r>
        <w:t>联系人：</w:t>
      </w:r>
      <w:r>
        <w:rPr>
          <w:lang w:eastAsia="zh-CN"/>
        </w:rPr>
        <w:t>晏先生</w:t>
      </w:r>
    </w:p>
    <w:p w14:paraId="12B8D12D">
      <w:pPr>
        <w:pStyle w:val="25"/>
        <w:ind w:firstLine="480"/>
        <w:rPr>
          <w:rFonts w:hint="default"/>
        </w:rPr>
      </w:pPr>
      <w:r>
        <w:rPr>
          <w:lang w:val="zh-CN"/>
        </w:rPr>
        <w:t>电话：</w:t>
      </w:r>
      <w:r>
        <w:t>400-860-0752</w:t>
      </w:r>
    </w:p>
    <w:p w14:paraId="75722CF0">
      <w:pPr>
        <w:pStyle w:val="25"/>
        <w:ind w:firstLine="480"/>
        <w:rPr>
          <w:rFonts w:hint="default"/>
        </w:rPr>
      </w:pPr>
      <w:r>
        <w:rPr>
          <w:lang w:eastAsia="zh-CN"/>
        </w:rPr>
        <w:t>4</w:t>
      </w:r>
      <w:r>
        <w:t>.项目联系方式</w:t>
      </w:r>
    </w:p>
    <w:p w14:paraId="668A9263">
      <w:pPr>
        <w:pStyle w:val="25"/>
        <w:ind w:firstLine="480"/>
        <w:rPr>
          <w:rFonts w:hint="default"/>
          <w:lang w:eastAsia="zh-CN"/>
        </w:rPr>
      </w:pPr>
      <w:r>
        <w:t>项目联系人：</w:t>
      </w:r>
      <w:r>
        <w:rPr>
          <w:lang w:eastAsia="zh-CN"/>
        </w:rPr>
        <w:t>陈先生</w:t>
      </w:r>
    </w:p>
    <w:p w14:paraId="2F211EBD">
      <w:pPr>
        <w:pStyle w:val="25"/>
        <w:ind w:firstLine="480"/>
        <w:rPr>
          <w:rFonts w:hint="default"/>
        </w:rPr>
      </w:pPr>
      <w:r>
        <w:t>电话：</w:t>
      </w:r>
      <w:r>
        <w:rPr>
          <w:lang w:eastAsia="zh-CN"/>
        </w:rPr>
        <w:t>0752-2817938</w:t>
      </w:r>
      <w:r>
        <w:t xml:space="preserve"> </w:t>
      </w:r>
    </w:p>
    <w:p w14:paraId="710F5216">
      <w:pPr>
        <w:rPr>
          <w:b/>
          <w:sz w:val="36"/>
        </w:rPr>
      </w:pPr>
      <w:r>
        <w:rPr>
          <w:b/>
          <w:sz w:val="36"/>
        </w:rPr>
        <w:br w:type="page"/>
      </w:r>
    </w:p>
    <w:p w14:paraId="5F632EEC">
      <w:pPr>
        <w:pStyle w:val="25"/>
        <w:jc w:val="center"/>
        <w:outlineLvl w:val="0"/>
        <w:rPr>
          <w:rFonts w:hint="default"/>
        </w:rPr>
      </w:pPr>
      <w:bookmarkStart w:id="6" w:name="_Toc1768"/>
      <w:r>
        <w:rPr>
          <w:b/>
          <w:sz w:val="36"/>
        </w:rPr>
        <w:t>第二章 采购需求</w:t>
      </w:r>
      <w:bookmarkEnd w:id="6"/>
    </w:p>
    <w:p w14:paraId="7622A20F">
      <w:pPr>
        <w:pStyle w:val="25"/>
        <w:spacing w:line="360" w:lineRule="auto"/>
        <w:outlineLvl w:val="2"/>
        <w:rPr>
          <w:rFonts w:hint="default" w:ascii="宋体" w:hAnsi="宋体" w:cs="宋体"/>
          <w:b/>
          <w:sz w:val="24"/>
          <w:szCs w:val="24"/>
        </w:rPr>
      </w:pPr>
      <w:r>
        <w:rPr>
          <w:rFonts w:ascii="宋体" w:hAnsi="宋体" w:cs="宋体"/>
          <w:b/>
          <w:sz w:val="24"/>
          <w:szCs w:val="24"/>
        </w:rPr>
        <w:t>一、项目概况：</w:t>
      </w:r>
    </w:p>
    <w:p w14:paraId="55604ED6">
      <w:pPr>
        <w:pStyle w:val="25"/>
        <w:spacing w:line="360" w:lineRule="auto"/>
        <w:ind w:firstLine="480" w:firstLineChars="200"/>
        <w:rPr>
          <w:rFonts w:hint="default" w:ascii="宋体" w:hAnsi="宋体" w:cs="宋体"/>
          <w:bCs/>
          <w:sz w:val="24"/>
          <w:szCs w:val="24"/>
          <w:lang w:eastAsia="zh-CN"/>
        </w:rPr>
      </w:pPr>
      <w:r>
        <w:rPr>
          <w:rFonts w:hint="default" w:ascii="宋体" w:hAnsi="宋体" w:cs="宋体"/>
          <w:bCs/>
          <w:sz w:val="24"/>
          <w:szCs w:val="24"/>
          <w:lang w:eastAsia="zh-CN"/>
        </w:rPr>
        <w:t>采购项目名称：</w:t>
      </w:r>
      <w:r>
        <w:rPr>
          <w:rFonts w:ascii="宋体" w:hAnsi="宋体" w:cs="宋体"/>
          <w:bCs/>
          <w:sz w:val="24"/>
          <w:szCs w:val="24"/>
          <w:lang w:eastAsia="zh-CN"/>
        </w:rPr>
        <w:t>惠州市第一人民医院新生儿呼吸机等一批设备采购项目</w:t>
      </w:r>
    </w:p>
    <w:p w14:paraId="6D5E88ED">
      <w:pPr>
        <w:pStyle w:val="25"/>
        <w:spacing w:line="360" w:lineRule="auto"/>
        <w:ind w:firstLine="480" w:firstLineChars="200"/>
        <w:rPr>
          <w:rFonts w:hint="default" w:ascii="宋体" w:hAnsi="宋体" w:cs="宋体"/>
          <w:bCs/>
          <w:sz w:val="24"/>
          <w:szCs w:val="24"/>
          <w:lang w:eastAsia="zh-CN"/>
        </w:rPr>
      </w:pPr>
      <w:r>
        <w:rPr>
          <w:rFonts w:hint="default" w:ascii="宋体" w:hAnsi="宋体" w:cs="宋体"/>
          <w:bCs/>
          <w:sz w:val="24"/>
          <w:szCs w:val="24"/>
          <w:lang w:eastAsia="zh-CN"/>
        </w:rPr>
        <w:t>采购项目编号：</w:t>
      </w:r>
      <w:r>
        <w:rPr>
          <w:rFonts w:ascii="宋体" w:hAnsi="宋体" w:cs="宋体"/>
          <w:bCs/>
          <w:sz w:val="24"/>
          <w:szCs w:val="24"/>
          <w:lang w:eastAsia="zh-CN"/>
        </w:rPr>
        <w:t>HZZH2026021</w:t>
      </w:r>
    </w:p>
    <w:p w14:paraId="5403ED6E">
      <w:pPr>
        <w:pStyle w:val="25"/>
        <w:spacing w:line="360" w:lineRule="auto"/>
        <w:ind w:firstLine="480" w:firstLineChars="200"/>
        <w:rPr>
          <w:rFonts w:hint="default" w:ascii="宋体" w:hAnsi="宋体" w:cs="宋体"/>
          <w:bCs/>
          <w:sz w:val="24"/>
          <w:szCs w:val="24"/>
          <w:lang w:eastAsia="zh-CN"/>
        </w:rPr>
      </w:pPr>
      <w:r>
        <w:rPr>
          <w:rFonts w:hint="default" w:ascii="宋体" w:hAnsi="宋体" w:cs="宋体"/>
          <w:bCs/>
          <w:sz w:val="24"/>
          <w:szCs w:val="24"/>
          <w:lang w:eastAsia="zh-CN"/>
        </w:rPr>
        <w:t>采购方式：公开招标</w:t>
      </w:r>
    </w:p>
    <w:p w14:paraId="3BBA976F">
      <w:pPr>
        <w:pStyle w:val="25"/>
        <w:spacing w:line="360" w:lineRule="auto"/>
        <w:ind w:firstLine="480" w:firstLineChars="200"/>
        <w:rPr>
          <w:rFonts w:hint="default" w:ascii="宋体" w:hAnsi="宋体" w:cs="宋体"/>
          <w:bCs/>
          <w:sz w:val="24"/>
          <w:szCs w:val="24"/>
          <w:lang w:eastAsia="zh-CN"/>
        </w:rPr>
      </w:pPr>
      <w:r>
        <w:rPr>
          <w:rFonts w:hint="default" w:ascii="宋体" w:hAnsi="宋体" w:cs="宋体"/>
          <w:bCs/>
          <w:sz w:val="24"/>
          <w:szCs w:val="24"/>
          <w:lang w:eastAsia="zh-CN"/>
        </w:rPr>
        <w:t>预算金额：</w:t>
      </w:r>
      <w:r>
        <w:rPr>
          <w:rFonts w:ascii="宋体" w:hAnsi="宋体" w:cs="宋体"/>
          <w:bCs/>
          <w:sz w:val="24"/>
          <w:szCs w:val="24"/>
          <w:lang w:eastAsia="zh-CN"/>
        </w:rPr>
        <w:t>559,300.00</w:t>
      </w:r>
      <w:r>
        <w:rPr>
          <w:rFonts w:hint="default" w:ascii="宋体" w:hAnsi="宋体" w:cs="宋体"/>
          <w:bCs/>
          <w:sz w:val="24"/>
          <w:szCs w:val="24"/>
          <w:lang w:eastAsia="zh-CN"/>
        </w:rPr>
        <w:t>元（采购包1：469,500.00元，采购包2：89,800.00元）</w:t>
      </w:r>
    </w:p>
    <w:p w14:paraId="071B7E38">
      <w:pPr>
        <w:pStyle w:val="25"/>
        <w:spacing w:line="360" w:lineRule="auto"/>
        <w:ind w:firstLine="480" w:firstLineChars="200"/>
        <w:rPr>
          <w:rFonts w:hint="default" w:ascii="宋体" w:hAnsi="宋体" w:cs="宋体"/>
          <w:bCs/>
          <w:sz w:val="24"/>
          <w:szCs w:val="24"/>
          <w:lang w:eastAsia="zh-CN"/>
        </w:rPr>
      </w:pPr>
      <w:r>
        <w:rPr>
          <w:rFonts w:hint="default" w:ascii="宋体" w:hAnsi="宋体" w:cs="宋体"/>
          <w:bCs/>
          <w:sz w:val="24"/>
          <w:szCs w:val="24"/>
          <w:lang w:eastAsia="zh-CN"/>
        </w:rPr>
        <w:t>本项目采购类型属于货物，如需提供中小企业声明函的，应按中小企业声明函（货物）按格式提供。在货物采购项目中，货物由中小企业制造，即货物由中小企业生产且使用该中小企业商号或者注册商标的，可享受法规规定的中小企业扶持政策，不对投标人主体类型作任何限制要求。投标人提供的货物既有中小企业制造的，也有大型企业制造的，不享受法规规定的中小企业扶持政策。</w:t>
      </w:r>
    </w:p>
    <w:p w14:paraId="5255E41A">
      <w:pPr>
        <w:pStyle w:val="25"/>
        <w:spacing w:line="360" w:lineRule="auto"/>
        <w:rPr>
          <w:rFonts w:hint="default" w:ascii="宋体" w:hAnsi="宋体" w:cs="宋体"/>
          <w:b/>
          <w:sz w:val="24"/>
          <w:szCs w:val="24"/>
          <w:lang w:eastAsia="zh-CN"/>
        </w:rPr>
      </w:pPr>
      <w:r>
        <w:rPr>
          <w:rFonts w:ascii="宋体" w:hAnsi="宋体" w:cs="宋体"/>
          <w:b/>
          <w:sz w:val="24"/>
          <w:szCs w:val="24"/>
          <w:lang w:eastAsia="zh-CN"/>
        </w:rPr>
        <w:t>二、商务要求</w:t>
      </w:r>
    </w:p>
    <w:p w14:paraId="15D25D58">
      <w:pPr>
        <w:pStyle w:val="25"/>
        <w:spacing w:line="360" w:lineRule="auto"/>
        <w:rPr>
          <w:rFonts w:hint="default" w:ascii="宋体" w:hAnsi="宋体" w:cs="宋体"/>
          <w:b/>
          <w:sz w:val="24"/>
          <w:szCs w:val="24"/>
        </w:rPr>
      </w:pPr>
      <w:r>
        <w:rPr>
          <w:rFonts w:ascii="宋体" w:hAnsi="宋体"/>
          <w:b/>
          <w:sz w:val="24"/>
        </w:rPr>
        <w:t>采购包1（</w:t>
      </w:r>
      <w:r>
        <w:rPr>
          <w:rFonts w:ascii="宋体" w:hAnsi="宋体"/>
          <w:b/>
          <w:sz w:val="24"/>
          <w:lang w:eastAsia="zh-CN"/>
        </w:rPr>
        <w:t>新生儿呼吸机采购项目</w:t>
      </w:r>
      <w:r>
        <w:rPr>
          <w:rFonts w:ascii="宋体" w:hAnsi="宋体"/>
          <w:b/>
          <w:sz w:val="24"/>
        </w:rPr>
        <w:t>）</w:t>
      </w:r>
    </w:p>
    <w:p w14:paraId="724E7A56">
      <w:pPr>
        <w:pStyle w:val="25"/>
        <w:spacing w:line="360" w:lineRule="auto"/>
        <w:rPr>
          <w:rFonts w:hint="default" w:ascii="宋体" w:hAnsi="宋体" w:cs="宋体"/>
          <w:sz w:val="24"/>
          <w:szCs w:val="24"/>
        </w:rPr>
      </w:pPr>
      <w:r>
        <w:rPr>
          <w:rFonts w:ascii="宋体" w:hAnsi="宋体" w:cs="宋体"/>
          <w:b/>
          <w:sz w:val="24"/>
          <w:szCs w:val="24"/>
        </w:rPr>
        <w:t>1.主要商务要求</w:t>
      </w:r>
    </w:p>
    <w:tbl>
      <w:tblPr>
        <w:tblStyle w:val="20"/>
        <w:tblW w:w="874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694"/>
        <w:gridCol w:w="6052"/>
      </w:tblGrid>
      <w:tr w14:paraId="05D17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2" w:hRule="atLeast"/>
          <w:jc w:val="center"/>
        </w:trPr>
        <w:tc>
          <w:tcPr>
            <w:tcW w:w="2694" w:type="dxa"/>
            <w:vAlign w:val="center"/>
          </w:tcPr>
          <w:p w14:paraId="723B4C07">
            <w:pPr>
              <w:spacing w:line="360" w:lineRule="auto"/>
              <w:jc w:val="center"/>
              <w:rPr>
                <w:rFonts w:ascii="宋体" w:hAnsi="宋体" w:cs="宋体"/>
                <w:sz w:val="20"/>
                <w:szCs w:val="20"/>
              </w:rPr>
            </w:pPr>
            <w:r>
              <w:rPr>
                <w:rFonts w:hint="eastAsia" w:ascii="宋体" w:hAnsi="宋体" w:cs="宋体"/>
                <w:sz w:val="20"/>
                <w:szCs w:val="20"/>
              </w:rPr>
              <w:t>标的提供的时间</w:t>
            </w:r>
          </w:p>
        </w:tc>
        <w:tc>
          <w:tcPr>
            <w:tcW w:w="6052" w:type="dxa"/>
            <w:vAlign w:val="center"/>
          </w:tcPr>
          <w:p w14:paraId="12791A1A">
            <w:pPr>
              <w:spacing w:line="360" w:lineRule="auto"/>
              <w:rPr>
                <w:rFonts w:ascii="宋体" w:hAnsi="宋体" w:cs="宋体"/>
                <w:sz w:val="20"/>
                <w:szCs w:val="20"/>
              </w:rPr>
            </w:pPr>
            <w:r>
              <w:rPr>
                <w:rFonts w:hint="eastAsia" w:ascii="宋体" w:hAnsi="宋体" w:cs="宋体"/>
                <w:sz w:val="20"/>
                <w:szCs w:val="20"/>
              </w:rPr>
              <w:t>自合同签订</w:t>
            </w:r>
            <w:r>
              <w:rPr>
                <w:rFonts w:hint="eastAsia"/>
              </w:rPr>
              <w:t>之</w:t>
            </w:r>
            <w:r>
              <w:rPr>
                <w:rFonts w:hint="eastAsia" w:ascii="宋体" w:hAnsi="宋体" w:cs="宋体"/>
                <w:sz w:val="20"/>
                <w:szCs w:val="20"/>
              </w:rPr>
              <w:t>日起，到货时间≤30天；如采购人有特殊需求，另行协商。</w:t>
            </w:r>
          </w:p>
        </w:tc>
      </w:tr>
      <w:tr w14:paraId="1FF27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6" w:hRule="atLeast"/>
          <w:jc w:val="center"/>
        </w:trPr>
        <w:tc>
          <w:tcPr>
            <w:tcW w:w="2694" w:type="dxa"/>
            <w:vAlign w:val="center"/>
          </w:tcPr>
          <w:p w14:paraId="4D122B25">
            <w:pPr>
              <w:spacing w:line="360" w:lineRule="auto"/>
              <w:jc w:val="center"/>
              <w:rPr>
                <w:rFonts w:ascii="宋体" w:hAnsi="宋体" w:cs="宋体"/>
                <w:sz w:val="20"/>
                <w:szCs w:val="20"/>
              </w:rPr>
            </w:pPr>
            <w:r>
              <w:rPr>
                <w:rFonts w:hint="eastAsia" w:ascii="宋体" w:hAnsi="宋体" w:cs="宋体"/>
                <w:sz w:val="20"/>
                <w:szCs w:val="20"/>
              </w:rPr>
              <w:t>标的提供的地点</w:t>
            </w:r>
          </w:p>
        </w:tc>
        <w:tc>
          <w:tcPr>
            <w:tcW w:w="6052" w:type="dxa"/>
            <w:vAlign w:val="center"/>
          </w:tcPr>
          <w:p w14:paraId="2E5E1FA4">
            <w:pPr>
              <w:spacing w:line="360" w:lineRule="auto"/>
              <w:rPr>
                <w:rFonts w:ascii="宋体" w:hAnsi="宋体" w:cs="宋体"/>
                <w:sz w:val="20"/>
                <w:szCs w:val="20"/>
              </w:rPr>
            </w:pPr>
            <w:r>
              <w:rPr>
                <w:rFonts w:hint="eastAsia" w:ascii="宋体" w:hAnsi="宋体" w:cs="宋体"/>
                <w:sz w:val="20"/>
                <w:szCs w:val="20"/>
              </w:rPr>
              <w:t>采购人指定地点。</w:t>
            </w:r>
          </w:p>
        </w:tc>
      </w:tr>
      <w:tr w14:paraId="4BDDD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9" w:hRule="atLeast"/>
          <w:jc w:val="center"/>
        </w:trPr>
        <w:tc>
          <w:tcPr>
            <w:tcW w:w="2694" w:type="dxa"/>
            <w:vAlign w:val="center"/>
          </w:tcPr>
          <w:p w14:paraId="38E75A44">
            <w:pPr>
              <w:spacing w:line="360" w:lineRule="auto"/>
              <w:jc w:val="center"/>
              <w:rPr>
                <w:rFonts w:ascii="宋体" w:hAnsi="宋体" w:cs="宋体"/>
                <w:sz w:val="20"/>
                <w:szCs w:val="20"/>
              </w:rPr>
            </w:pPr>
            <w:r>
              <w:rPr>
                <w:rFonts w:hint="eastAsia" w:ascii="宋体" w:hAnsi="宋体" w:cs="宋体"/>
                <w:sz w:val="20"/>
                <w:szCs w:val="20"/>
              </w:rPr>
              <w:t>付款方式</w:t>
            </w:r>
          </w:p>
        </w:tc>
        <w:tc>
          <w:tcPr>
            <w:tcW w:w="6052" w:type="dxa"/>
            <w:vAlign w:val="center"/>
          </w:tcPr>
          <w:p w14:paraId="3FC301A9">
            <w:pPr>
              <w:pStyle w:val="25"/>
              <w:spacing w:line="360" w:lineRule="auto"/>
              <w:jc w:val="both"/>
              <w:rPr>
                <w:rFonts w:hint="default" w:ascii="宋体" w:hAnsi="宋体" w:cs="宋体"/>
                <w:spacing w:val="10"/>
                <w:kern w:val="2"/>
                <w:lang w:eastAsia="zh-CN"/>
              </w:rPr>
            </w:pPr>
            <w:r>
              <w:rPr>
                <w:rFonts w:ascii="宋体" w:hAnsi="宋体" w:cs="宋体"/>
                <w:spacing w:val="10"/>
                <w:kern w:val="2"/>
                <w:lang w:eastAsia="zh-CN"/>
              </w:rPr>
              <w:t>（1）合同签订后，全部货物到现场完成安装、调试后安排验收，经验收合格且中标人向采购人提供合法有效的税务发票后三个月内采购人向中标人支付合同总价的100%。中小企业按相关文件规定付款。</w:t>
            </w:r>
          </w:p>
          <w:p w14:paraId="27D3B54B">
            <w:pPr>
              <w:pStyle w:val="25"/>
              <w:spacing w:line="360" w:lineRule="auto"/>
              <w:jc w:val="both"/>
              <w:rPr>
                <w:rFonts w:hint="default" w:ascii="宋体" w:hAnsi="宋体" w:cs="宋体"/>
                <w:spacing w:val="10"/>
                <w:kern w:val="2"/>
                <w:lang w:eastAsia="zh-CN"/>
              </w:rPr>
            </w:pPr>
            <w:r>
              <w:rPr>
                <w:rFonts w:ascii="宋体" w:hAnsi="宋体" w:cs="宋体"/>
                <w:spacing w:val="10"/>
                <w:kern w:val="2"/>
                <w:lang w:eastAsia="zh-CN"/>
              </w:rPr>
              <w:t>（2）若成交供应商属中小企业（响应时需提供《中小企业声明函》，则按照《广东省政府采购促进中小企业发展实施细则》的要求进行支付。</w:t>
            </w:r>
          </w:p>
          <w:p w14:paraId="411360F0">
            <w:pPr>
              <w:pStyle w:val="25"/>
              <w:spacing w:line="360" w:lineRule="auto"/>
              <w:jc w:val="both"/>
              <w:rPr>
                <w:rFonts w:hint="default" w:ascii="宋体" w:hAnsi="宋体" w:cs="宋体"/>
                <w:kern w:val="2"/>
                <w:sz w:val="24"/>
                <w:szCs w:val="24"/>
                <w:lang w:eastAsia="zh-CN"/>
              </w:rPr>
            </w:pPr>
            <w:r>
              <w:rPr>
                <w:rFonts w:ascii="宋体" w:hAnsi="宋体" w:cs="宋体"/>
                <w:spacing w:val="10"/>
                <w:kern w:val="2"/>
                <w:lang w:eastAsia="zh-CN"/>
              </w:rPr>
              <w:t>（3）以上付款时间指以中标人提供合法合规发票为前提，如因中标人发票未按期提供或发票不合规等原因，采购人有权延期付款，由中标人承担由此造成的一切损失。</w:t>
            </w:r>
          </w:p>
        </w:tc>
      </w:tr>
      <w:tr w14:paraId="05BAE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2694" w:type="dxa"/>
            <w:vAlign w:val="center"/>
          </w:tcPr>
          <w:p w14:paraId="7A9680F7">
            <w:pPr>
              <w:spacing w:line="360" w:lineRule="auto"/>
              <w:jc w:val="center"/>
              <w:rPr>
                <w:rFonts w:ascii="宋体" w:hAnsi="宋体" w:cs="宋体"/>
                <w:sz w:val="20"/>
                <w:szCs w:val="20"/>
              </w:rPr>
            </w:pPr>
            <w:r>
              <w:rPr>
                <w:rFonts w:hint="eastAsia" w:ascii="宋体" w:hAnsi="宋体" w:cs="宋体"/>
                <w:sz w:val="20"/>
                <w:szCs w:val="20"/>
              </w:rPr>
              <w:t>验收要求</w:t>
            </w:r>
          </w:p>
        </w:tc>
        <w:tc>
          <w:tcPr>
            <w:tcW w:w="6052" w:type="dxa"/>
            <w:vAlign w:val="center"/>
          </w:tcPr>
          <w:p w14:paraId="1A442210">
            <w:pPr>
              <w:pStyle w:val="26"/>
              <w:numPr>
                <w:ilvl w:val="255"/>
                <w:numId w:val="0"/>
              </w:numPr>
              <w:spacing w:line="360" w:lineRule="auto"/>
              <w:rPr>
                <w:rFonts w:ascii="宋体" w:hAnsi="宋体" w:cs="宋体"/>
                <w:b w:val="0"/>
                <w:bCs w:val="0"/>
                <w:sz w:val="20"/>
                <w:szCs w:val="20"/>
              </w:rPr>
            </w:pPr>
            <w:r>
              <w:rPr>
                <w:rFonts w:hint="eastAsia" w:ascii="宋体" w:hAnsi="宋体" w:cs="宋体"/>
                <w:b w:val="0"/>
                <w:bCs w:val="0"/>
                <w:sz w:val="20"/>
                <w:szCs w:val="20"/>
              </w:rPr>
              <w:t>（1）要求设备质量合格：符合国家、行业等有关标准，符合招标文件、投标文件及设备生产厂家公开的宣传资料和生产厂商官方网站宣传内容的标准要求。</w:t>
            </w:r>
          </w:p>
          <w:p w14:paraId="7D231A78">
            <w:pPr>
              <w:pStyle w:val="26"/>
              <w:numPr>
                <w:ilvl w:val="255"/>
                <w:numId w:val="0"/>
              </w:numPr>
              <w:spacing w:line="360" w:lineRule="auto"/>
              <w:rPr>
                <w:rFonts w:ascii="宋体" w:hAnsi="宋体" w:cs="宋体"/>
                <w:b w:val="0"/>
                <w:bCs w:val="0"/>
                <w:sz w:val="20"/>
                <w:szCs w:val="20"/>
              </w:rPr>
            </w:pPr>
            <w:r>
              <w:rPr>
                <w:rFonts w:hint="eastAsia" w:ascii="宋体" w:hAnsi="宋体" w:cs="宋体"/>
                <w:b w:val="0"/>
                <w:bCs w:val="0"/>
                <w:sz w:val="20"/>
                <w:szCs w:val="20"/>
              </w:rPr>
              <w:t>（2）要求单据齐全：包括合格证、使用说明、保修证明（厂家盖章的保修文件等）、及其他应具有的单证，如进口设备还需提供合法的报关单、完税凭证、商检证明等资料。</w:t>
            </w:r>
          </w:p>
          <w:p w14:paraId="139CAEEF">
            <w:pPr>
              <w:pStyle w:val="26"/>
              <w:numPr>
                <w:ilvl w:val="255"/>
                <w:numId w:val="0"/>
              </w:numPr>
              <w:spacing w:line="360" w:lineRule="auto"/>
              <w:rPr>
                <w:rFonts w:ascii="宋体" w:hAnsi="宋体" w:cs="宋体"/>
                <w:b w:val="0"/>
                <w:bCs w:val="0"/>
                <w:sz w:val="20"/>
                <w:szCs w:val="20"/>
              </w:rPr>
            </w:pPr>
            <w:r>
              <w:rPr>
                <w:rFonts w:hint="eastAsia" w:ascii="宋体" w:hAnsi="宋体" w:cs="宋体"/>
                <w:b w:val="0"/>
                <w:bCs w:val="0"/>
                <w:sz w:val="20"/>
                <w:szCs w:val="20"/>
              </w:rPr>
              <w:t xml:space="preserve">（3）仪器设备运抵安装现场后，采购人将与中标人共同开箱验收，如中标人届时不指派人员参与，则验收结果应以采购人的验收报告为最终验收结果。验收时发现短缺、破损，采购人有权要求中标人负责更换。 </w:t>
            </w:r>
          </w:p>
          <w:p w14:paraId="67D90A9C">
            <w:pPr>
              <w:pStyle w:val="26"/>
              <w:numPr>
                <w:ilvl w:val="255"/>
                <w:numId w:val="0"/>
              </w:numPr>
              <w:spacing w:line="360" w:lineRule="auto"/>
              <w:rPr>
                <w:rFonts w:ascii="宋体" w:hAnsi="宋体" w:cs="宋体"/>
                <w:b w:val="0"/>
                <w:bCs w:val="0"/>
                <w:sz w:val="20"/>
                <w:szCs w:val="20"/>
              </w:rPr>
            </w:pPr>
            <w:r>
              <w:rPr>
                <w:rFonts w:hint="eastAsia" w:ascii="宋体" w:hAnsi="宋体" w:cs="宋体"/>
                <w:b w:val="0"/>
                <w:bCs w:val="0"/>
                <w:sz w:val="20"/>
                <w:szCs w:val="20"/>
              </w:rPr>
              <w:t>（4）计量校准：按照国家、省市相关规范及行业相关标准要求，如需进行计量校准（包括强制检定器具、以及非强制检定器具，检定依据《中华人民共和国计量法》及其实施细则等法律法规执行）的设备及附属设施，需由第三方专业机构进行计量校准及相关检测，检测合格后方可验收。</w:t>
            </w:r>
          </w:p>
          <w:p w14:paraId="307EFD87">
            <w:pPr>
              <w:pStyle w:val="26"/>
              <w:numPr>
                <w:ilvl w:val="255"/>
                <w:numId w:val="0"/>
              </w:numPr>
              <w:spacing w:line="360" w:lineRule="auto"/>
              <w:rPr>
                <w:rFonts w:ascii="宋体" w:hAnsi="宋体" w:cs="宋体"/>
                <w:b w:val="0"/>
                <w:bCs w:val="0"/>
                <w:sz w:val="20"/>
                <w:szCs w:val="20"/>
              </w:rPr>
            </w:pPr>
            <w:r>
              <w:rPr>
                <w:rFonts w:hint="eastAsia" w:ascii="宋体" w:hAnsi="宋体" w:cs="宋体"/>
                <w:b w:val="0"/>
                <w:bCs w:val="0"/>
                <w:sz w:val="20"/>
                <w:szCs w:val="20"/>
              </w:rPr>
              <w:t>（5）验收标准以中标人的投标文件中所列的指标为准（该指标应不低于招标文件所要求的指标）。验收时如发现中标人在投标时存在虚假指标响应情况，采购人将取消合同并依法追究中标人的责任，中标人必须承担由此给采购人带来的一切经济损失。</w:t>
            </w:r>
          </w:p>
          <w:p w14:paraId="4738F922">
            <w:pPr>
              <w:pStyle w:val="26"/>
              <w:numPr>
                <w:ilvl w:val="255"/>
                <w:numId w:val="0"/>
              </w:numPr>
              <w:spacing w:line="360" w:lineRule="auto"/>
              <w:rPr>
                <w:rFonts w:ascii="宋体" w:hAnsi="宋体" w:cs="宋体"/>
                <w:b w:val="0"/>
                <w:bCs w:val="0"/>
                <w:sz w:val="20"/>
                <w:szCs w:val="20"/>
              </w:rPr>
            </w:pPr>
            <w:r>
              <w:rPr>
                <w:rFonts w:hint="eastAsia" w:ascii="宋体" w:hAnsi="宋体" w:cs="宋体"/>
                <w:b w:val="0"/>
                <w:bCs w:val="0"/>
                <w:sz w:val="20"/>
                <w:szCs w:val="20"/>
              </w:rPr>
              <w:t>（6）验收由采购人、中标人及相关人员依据国家有关标准、投标文件、合同及有关附件要求进行，验收完毕由采购人代表及中标人代表在验收报告上签字。</w:t>
            </w:r>
          </w:p>
          <w:p w14:paraId="0BD965AB">
            <w:pPr>
              <w:pStyle w:val="26"/>
              <w:numPr>
                <w:ilvl w:val="255"/>
                <w:numId w:val="0"/>
              </w:numPr>
              <w:spacing w:line="360" w:lineRule="auto"/>
              <w:rPr>
                <w:rFonts w:ascii="宋体" w:hAnsi="宋体" w:cs="宋体"/>
                <w:b w:val="0"/>
                <w:bCs w:val="0"/>
                <w:sz w:val="20"/>
                <w:szCs w:val="20"/>
              </w:rPr>
            </w:pPr>
            <w:r>
              <w:rPr>
                <w:rFonts w:hint="eastAsia" w:ascii="宋体" w:hAnsi="宋体" w:cs="宋体"/>
                <w:b w:val="0"/>
                <w:bCs w:val="0"/>
                <w:sz w:val="20"/>
                <w:szCs w:val="20"/>
              </w:rPr>
              <w:t>（7）验收时间：中标人按照采购人要求，将设备在指定地点安装、调试、培训至正常使用后，由中标人提出书面验收申请，采购人于接到验收申请后</w:t>
            </w:r>
            <w:r>
              <w:rPr>
                <w:rFonts w:hint="eastAsia" w:ascii="宋体" w:hAnsi="宋体" w:cs="宋体"/>
                <w:b w:val="0"/>
                <w:bCs w:val="0"/>
                <w:sz w:val="20"/>
                <w:szCs w:val="20"/>
                <w:u w:val="single"/>
              </w:rPr>
              <w:t>一个月</w:t>
            </w:r>
            <w:r>
              <w:rPr>
                <w:rFonts w:hint="eastAsia" w:ascii="宋体" w:hAnsi="宋体" w:cs="宋体"/>
                <w:b w:val="0"/>
                <w:bCs w:val="0"/>
                <w:sz w:val="20"/>
                <w:szCs w:val="20"/>
              </w:rPr>
              <w:t>内组织验收。</w:t>
            </w:r>
          </w:p>
        </w:tc>
      </w:tr>
      <w:tr w14:paraId="037BC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jc w:val="center"/>
        </w:trPr>
        <w:tc>
          <w:tcPr>
            <w:tcW w:w="2694" w:type="dxa"/>
            <w:vAlign w:val="center"/>
          </w:tcPr>
          <w:p w14:paraId="228F51F9">
            <w:pPr>
              <w:spacing w:line="360" w:lineRule="auto"/>
              <w:jc w:val="center"/>
              <w:rPr>
                <w:rFonts w:ascii="宋体" w:hAnsi="宋体" w:cs="宋体"/>
                <w:sz w:val="20"/>
                <w:szCs w:val="20"/>
              </w:rPr>
            </w:pPr>
            <w:r>
              <w:rPr>
                <w:rFonts w:hint="eastAsia" w:ascii="宋体" w:hAnsi="宋体" w:cs="宋体"/>
                <w:sz w:val="20"/>
                <w:szCs w:val="20"/>
              </w:rPr>
              <w:t>履约保证金</w:t>
            </w:r>
          </w:p>
        </w:tc>
        <w:tc>
          <w:tcPr>
            <w:tcW w:w="6052" w:type="dxa"/>
            <w:vAlign w:val="center"/>
          </w:tcPr>
          <w:p w14:paraId="352D6D7F">
            <w:pPr>
              <w:spacing w:line="360" w:lineRule="auto"/>
              <w:rPr>
                <w:rFonts w:ascii="宋体" w:hAnsi="宋体" w:cs="宋体"/>
                <w:sz w:val="20"/>
                <w:szCs w:val="20"/>
              </w:rPr>
            </w:pPr>
            <w:r>
              <w:rPr>
                <w:rFonts w:hint="eastAsia" w:ascii="宋体" w:hAnsi="宋体" w:cs="宋体"/>
                <w:sz w:val="20"/>
                <w:szCs w:val="20"/>
              </w:rPr>
              <w:t>不收取</w:t>
            </w:r>
          </w:p>
        </w:tc>
      </w:tr>
      <w:tr w14:paraId="0A63B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jc w:val="center"/>
        </w:trPr>
        <w:tc>
          <w:tcPr>
            <w:tcW w:w="2694" w:type="dxa"/>
            <w:vAlign w:val="center"/>
          </w:tcPr>
          <w:p w14:paraId="3D80D9E9">
            <w:pPr>
              <w:spacing w:line="360" w:lineRule="auto"/>
              <w:jc w:val="center"/>
              <w:rPr>
                <w:rFonts w:ascii="宋体" w:hAnsi="宋体" w:cs="宋体"/>
                <w:sz w:val="20"/>
                <w:szCs w:val="20"/>
              </w:rPr>
            </w:pPr>
            <w:r>
              <w:rPr>
                <w:rFonts w:hint="eastAsia" w:ascii="宋体" w:hAnsi="宋体" w:cs="宋体"/>
                <w:sz w:val="20"/>
                <w:szCs w:val="20"/>
              </w:rPr>
              <w:t>其他</w:t>
            </w:r>
          </w:p>
        </w:tc>
        <w:tc>
          <w:tcPr>
            <w:tcW w:w="6052" w:type="dxa"/>
            <w:vAlign w:val="center"/>
          </w:tcPr>
          <w:p w14:paraId="3CD8A847">
            <w:pPr>
              <w:spacing w:line="360" w:lineRule="auto"/>
              <w:rPr>
                <w:rFonts w:ascii="宋体" w:hAnsi="宋体" w:cs="宋体"/>
                <w:sz w:val="20"/>
                <w:szCs w:val="20"/>
              </w:rPr>
            </w:pPr>
          </w:p>
        </w:tc>
      </w:tr>
    </w:tbl>
    <w:p w14:paraId="4691B918">
      <w:pPr>
        <w:pStyle w:val="25"/>
        <w:spacing w:line="360" w:lineRule="auto"/>
        <w:rPr>
          <w:rFonts w:hint="default" w:ascii="宋体" w:hAnsi="宋体" w:cs="宋体"/>
          <w:b/>
          <w:sz w:val="24"/>
          <w:szCs w:val="24"/>
          <w:lang w:eastAsia="zh-CN"/>
        </w:rPr>
      </w:pPr>
    </w:p>
    <w:p w14:paraId="65734001">
      <w:pPr>
        <w:pStyle w:val="25"/>
        <w:spacing w:line="360" w:lineRule="auto"/>
        <w:rPr>
          <w:rFonts w:hint="default" w:ascii="宋体" w:hAnsi="宋体" w:cs="宋体"/>
          <w:b/>
          <w:sz w:val="24"/>
          <w:szCs w:val="24"/>
          <w:lang w:eastAsia="zh-CN"/>
        </w:rPr>
      </w:pPr>
      <w:r>
        <w:rPr>
          <w:rFonts w:ascii="宋体" w:hAnsi="宋体" w:cs="宋体"/>
          <w:b/>
          <w:sz w:val="24"/>
          <w:szCs w:val="24"/>
          <w:lang w:eastAsia="zh-CN"/>
        </w:rPr>
        <w:t>2.其他商务需求</w:t>
      </w:r>
    </w:p>
    <w:tbl>
      <w:tblPr>
        <w:tblStyle w:val="20"/>
        <w:tblW w:w="88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94"/>
        <w:gridCol w:w="1245"/>
        <w:gridCol w:w="330"/>
        <w:gridCol w:w="1155"/>
        <w:gridCol w:w="4937"/>
      </w:tblGrid>
      <w:tr w14:paraId="308BC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294073B4">
            <w:pPr>
              <w:pStyle w:val="25"/>
              <w:spacing w:line="360" w:lineRule="auto"/>
              <w:jc w:val="center"/>
              <w:rPr>
                <w:rFonts w:hint="default"/>
              </w:rPr>
            </w:pPr>
            <w:r>
              <w:t>参数性质</w:t>
            </w:r>
          </w:p>
        </w:tc>
        <w:tc>
          <w:tcPr>
            <w:tcW w:w="1245" w:type="dxa"/>
            <w:vAlign w:val="center"/>
          </w:tcPr>
          <w:p w14:paraId="5A83AA8B">
            <w:pPr>
              <w:pStyle w:val="25"/>
              <w:spacing w:line="360" w:lineRule="auto"/>
              <w:jc w:val="center"/>
              <w:rPr>
                <w:rFonts w:hint="default"/>
              </w:rPr>
            </w:pPr>
            <w:r>
              <w:t>编号</w:t>
            </w:r>
          </w:p>
        </w:tc>
        <w:tc>
          <w:tcPr>
            <w:tcW w:w="1485" w:type="dxa"/>
            <w:gridSpan w:val="2"/>
            <w:vAlign w:val="center"/>
          </w:tcPr>
          <w:p w14:paraId="64DFE7E2">
            <w:pPr>
              <w:pStyle w:val="25"/>
              <w:spacing w:line="360" w:lineRule="auto"/>
              <w:jc w:val="center"/>
              <w:rPr>
                <w:rFonts w:hint="default"/>
              </w:rPr>
            </w:pPr>
            <w:r>
              <w:t>内容明细</w:t>
            </w:r>
          </w:p>
        </w:tc>
        <w:tc>
          <w:tcPr>
            <w:tcW w:w="4937" w:type="dxa"/>
          </w:tcPr>
          <w:p w14:paraId="39AAA6F7">
            <w:pPr>
              <w:pStyle w:val="25"/>
              <w:spacing w:line="360" w:lineRule="auto"/>
              <w:jc w:val="center"/>
              <w:rPr>
                <w:rFonts w:hint="default"/>
              </w:rPr>
            </w:pPr>
            <w:r>
              <w:t>内容说明</w:t>
            </w:r>
          </w:p>
        </w:tc>
      </w:tr>
      <w:tr w14:paraId="2A684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05D59519">
            <w:pPr>
              <w:spacing w:line="360" w:lineRule="auto"/>
              <w:jc w:val="center"/>
              <w:rPr>
                <w:sz w:val="20"/>
                <w:szCs w:val="20"/>
              </w:rPr>
            </w:pPr>
          </w:p>
        </w:tc>
        <w:tc>
          <w:tcPr>
            <w:tcW w:w="1245" w:type="dxa"/>
            <w:vAlign w:val="center"/>
          </w:tcPr>
          <w:p w14:paraId="6BC37F92">
            <w:pPr>
              <w:pStyle w:val="25"/>
              <w:spacing w:line="360" w:lineRule="auto"/>
              <w:jc w:val="center"/>
              <w:rPr>
                <w:rFonts w:hint="default"/>
              </w:rPr>
            </w:pPr>
            <w:r>
              <w:t>1</w:t>
            </w:r>
          </w:p>
        </w:tc>
        <w:tc>
          <w:tcPr>
            <w:tcW w:w="1485" w:type="dxa"/>
            <w:gridSpan w:val="2"/>
            <w:vAlign w:val="center"/>
          </w:tcPr>
          <w:p w14:paraId="6788F914">
            <w:pPr>
              <w:pStyle w:val="25"/>
              <w:spacing w:line="360" w:lineRule="auto"/>
              <w:jc w:val="center"/>
              <w:rPr>
                <w:rFonts w:hint="default"/>
                <w:highlight w:val="none"/>
              </w:rPr>
            </w:pPr>
            <w:r>
              <w:rPr>
                <w:highlight w:val="none"/>
              </w:rPr>
              <w:t>报价要求</w:t>
            </w:r>
          </w:p>
        </w:tc>
        <w:tc>
          <w:tcPr>
            <w:tcW w:w="4937" w:type="dxa"/>
          </w:tcPr>
          <w:p w14:paraId="541F714E">
            <w:pPr>
              <w:pStyle w:val="25"/>
              <w:spacing w:line="360" w:lineRule="auto"/>
              <w:rPr>
                <w:rFonts w:hint="default"/>
                <w:highlight w:val="none"/>
              </w:rPr>
            </w:pPr>
            <w:r>
              <w:rPr>
                <w:rFonts w:ascii="宋体" w:hAnsi="宋体" w:cs="宋体"/>
                <w:highlight w:val="none"/>
                <w:lang w:eastAsia="zh-CN"/>
              </w:rPr>
              <w:t>本项目采用总价报价形式，投标报价不得高于最高限价，报价高于最高限价按投标无效处理。</w:t>
            </w:r>
            <w:r>
              <w:rPr>
                <w:rFonts w:hint="default"/>
                <w:highlight w:val="none"/>
                <w:lang w:eastAsia="zh-CN"/>
              </w:rPr>
              <w:t>价格构成。</w:t>
            </w:r>
            <w:r>
              <w:rPr>
                <w:rFonts w:ascii="宋体" w:hAnsi="宋体" w:cs="宋体"/>
                <w:highlight w:val="none"/>
                <w:lang w:eastAsia="zh-CN"/>
              </w:rPr>
              <w:t>投标人报价应包含设备费、包装费、仓储费、运输费、保险费、卸货费、安装调试费、培训费、保修期服务费、商检费、税费以及合同实施过程中所有风险、责任和其他不可预见费用等。</w:t>
            </w:r>
          </w:p>
        </w:tc>
      </w:tr>
      <w:tr w14:paraId="60C88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0AC5D5FE">
            <w:pPr>
              <w:spacing w:line="360" w:lineRule="auto"/>
              <w:jc w:val="center"/>
              <w:rPr>
                <w:sz w:val="20"/>
                <w:szCs w:val="20"/>
              </w:rPr>
            </w:pPr>
            <w:r>
              <w:rPr>
                <w:sz w:val="20"/>
                <w:szCs w:val="20"/>
              </w:rPr>
              <w:t>★</w:t>
            </w:r>
          </w:p>
        </w:tc>
        <w:tc>
          <w:tcPr>
            <w:tcW w:w="1245" w:type="dxa"/>
            <w:vAlign w:val="center"/>
          </w:tcPr>
          <w:p w14:paraId="125EA251">
            <w:pPr>
              <w:pStyle w:val="25"/>
              <w:spacing w:line="360" w:lineRule="auto"/>
              <w:jc w:val="center"/>
              <w:rPr>
                <w:rFonts w:hint="default"/>
                <w:lang w:eastAsia="zh-CN"/>
              </w:rPr>
            </w:pPr>
            <w:r>
              <w:rPr>
                <w:lang w:eastAsia="zh-CN"/>
              </w:rPr>
              <w:t>2</w:t>
            </w:r>
          </w:p>
        </w:tc>
        <w:tc>
          <w:tcPr>
            <w:tcW w:w="1485" w:type="dxa"/>
            <w:gridSpan w:val="2"/>
            <w:vAlign w:val="center"/>
          </w:tcPr>
          <w:p w14:paraId="4176EF7B">
            <w:pPr>
              <w:pStyle w:val="25"/>
              <w:spacing w:line="360" w:lineRule="auto"/>
              <w:jc w:val="center"/>
              <w:rPr>
                <w:rFonts w:hint="default"/>
              </w:rPr>
            </w:pPr>
            <w:r>
              <w:t>供货要求</w:t>
            </w:r>
          </w:p>
        </w:tc>
        <w:tc>
          <w:tcPr>
            <w:tcW w:w="4937" w:type="dxa"/>
          </w:tcPr>
          <w:p w14:paraId="0BC47558">
            <w:pPr>
              <w:pStyle w:val="25"/>
              <w:spacing w:line="360" w:lineRule="auto"/>
              <w:jc w:val="both"/>
              <w:rPr>
                <w:rFonts w:hint="default"/>
                <w:lang w:eastAsia="zh-CN"/>
              </w:rPr>
            </w:pPr>
            <w:r>
              <w:rPr>
                <w:lang w:eastAsia="zh-CN"/>
              </w:rPr>
              <w:t>（1）权利保证：中标人应保证出卖给采购人的产品或产品任何部分非他人所有或与他人共有，未设有抵押权、租赁权，未侵犯他人的专利权、版权、商标权等知识产权。一旦出现侵权，中标人应承担全部责任，包括采购人受到的损失以及维护自身权益而产生的支出（如：律师费、诉讼费等）。</w:t>
            </w:r>
          </w:p>
          <w:p w14:paraId="76690909">
            <w:pPr>
              <w:pStyle w:val="25"/>
              <w:spacing w:line="360" w:lineRule="auto"/>
              <w:jc w:val="both"/>
              <w:rPr>
                <w:rFonts w:hint="default"/>
                <w:lang w:eastAsia="zh-CN"/>
              </w:rPr>
            </w:pPr>
            <w:r>
              <w:rPr>
                <w:lang w:eastAsia="zh-CN"/>
              </w:rPr>
              <w:t>（2）供应的产品为原厂商未启封全新包装，序列号、包装箱号与出厂批号一致，并可追索查阅。</w:t>
            </w:r>
          </w:p>
        </w:tc>
      </w:tr>
      <w:tr w14:paraId="30B18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194" w:type="dxa"/>
            <w:vAlign w:val="center"/>
          </w:tcPr>
          <w:p w14:paraId="3C1D7397">
            <w:pPr>
              <w:spacing w:line="360" w:lineRule="auto"/>
              <w:jc w:val="center"/>
              <w:rPr>
                <w:sz w:val="20"/>
                <w:szCs w:val="20"/>
              </w:rPr>
            </w:pPr>
            <w:r>
              <w:rPr>
                <w:sz w:val="20"/>
                <w:szCs w:val="20"/>
              </w:rPr>
              <w:t>★</w:t>
            </w:r>
          </w:p>
        </w:tc>
        <w:tc>
          <w:tcPr>
            <w:tcW w:w="1245" w:type="dxa"/>
            <w:vAlign w:val="center"/>
          </w:tcPr>
          <w:p w14:paraId="562C1C39">
            <w:pPr>
              <w:pStyle w:val="25"/>
              <w:spacing w:line="360" w:lineRule="auto"/>
              <w:jc w:val="center"/>
              <w:rPr>
                <w:rFonts w:hint="default"/>
                <w:lang w:eastAsia="zh-CN"/>
              </w:rPr>
            </w:pPr>
            <w:r>
              <w:rPr>
                <w:lang w:eastAsia="zh-CN"/>
              </w:rPr>
              <w:t>3</w:t>
            </w:r>
          </w:p>
        </w:tc>
        <w:tc>
          <w:tcPr>
            <w:tcW w:w="1485" w:type="dxa"/>
            <w:gridSpan w:val="2"/>
            <w:vAlign w:val="center"/>
          </w:tcPr>
          <w:p w14:paraId="361BD57A">
            <w:pPr>
              <w:pStyle w:val="25"/>
              <w:spacing w:line="360" w:lineRule="auto"/>
              <w:jc w:val="center"/>
              <w:rPr>
                <w:rFonts w:hint="default"/>
              </w:rPr>
            </w:pPr>
            <w:r>
              <w:rPr>
                <w:rFonts w:hint="default"/>
              </w:rPr>
              <w:t>保修要求</w:t>
            </w:r>
          </w:p>
        </w:tc>
        <w:tc>
          <w:tcPr>
            <w:tcW w:w="4937" w:type="dxa"/>
          </w:tcPr>
          <w:p w14:paraId="10D8B6CA">
            <w:pPr>
              <w:spacing w:line="400" w:lineRule="exact"/>
              <w:jc w:val="left"/>
              <w:rPr>
                <w:rFonts w:ascii="宋体" w:hAnsi="宋体" w:cs="宋体"/>
                <w:sz w:val="20"/>
                <w:szCs w:val="20"/>
              </w:rPr>
            </w:pPr>
            <w:r>
              <w:rPr>
                <w:rFonts w:hint="eastAsia" w:ascii="宋体" w:hAnsi="宋体" w:cs="宋体"/>
                <w:sz w:val="20"/>
                <w:szCs w:val="20"/>
              </w:rPr>
              <w:t>除耗材及易损件外，主机及触摸显示屏整机、湿化器及相关附件等原厂设备保修≥</w:t>
            </w:r>
            <w:r>
              <w:rPr>
                <w:rFonts w:hint="eastAsia" w:ascii="宋体" w:hAnsi="宋体" w:cs="宋体"/>
                <w:sz w:val="20"/>
                <w:szCs w:val="20"/>
                <w:u w:val="single"/>
              </w:rPr>
              <w:t>3年</w:t>
            </w:r>
            <w:r>
              <w:rPr>
                <w:rFonts w:hint="eastAsia" w:ascii="宋体" w:hAnsi="宋体" w:cs="宋体"/>
                <w:sz w:val="20"/>
                <w:szCs w:val="20"/>
              </w:rPr>
              <w:t>（提供设备原厂盖章的保修函，如无法在投标阶段提供，则需在验收阶段提供，否则无法办理验收）；从产品验收合格之日起计算，在质保期内，一切原因引起的故障，中标人负责保修，如维修无法解决的，应更换新件，维修相关的所有费用由中标人承担。</w:t>
            </w:r>
          </w:p>
        </w:tc>
      </w:tr>
      <w:tr w14:paraId="2DB6E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tcPr>
          <w:p w14:paraId="1843DE1F">
            <w:pPr>
              <w:spacing w:line="360" w:lineRule="auto"/>
              <w:jc w:val="center"/>
              <w:rPr>
                <w:sz w:val="20"/>
                <w:szCs w:val="20"/>
              </w:rPr>
            </w:pPr>
          </w:p>
        </w:tc>
        <w:tc>
          <w:tcPr>
            <w:tcW w:w="1245" w:type="dxa"/>
            <w:vAlign w:val="center"/>
          </w:tcPr>
          <w:p w14:paraId="05E3A139">
            <w:pPr>
              <w:pStyle w:val="25"/>
              <w:spacing w:line="360" w:lineRule="auto"/>
              <w:jc w:val="center"/>
              <w:rPr>
                <w:rFonts w:hint="default"/>
                <w:lang w:eastAsia="zh-CN"/>
              </w:rPr>
            </w:pPr>
            <w:r>
              <w:rPr>
                <w:lang w:eastAsia="zh-CN"/>
              </w:rPr>
              <w:t>4</w:t>
            </w:r>
          </w:p>
        </w:tc>
        <w:tc>
          <w:tcPr>
            <w:tcW w:w="1485" w:type="dxa"/>
            <w:gridSpan w:val="2"/>
            <w:vAlign w:val="center"/>
          </w:tcPr>
          <w:p w14:paraId="2C01D3E6">
            <w:pPr>
              <w:pStyle w:val="25"/>
              <w:spacing w:line="360" w:lineRule="auto"/>
              <w:jc w:val="center"/>
              <w:rPr>
                <w:rFonts w:hint="default"/>
              </w:rPr>
            </w:pPr>
            <w:r>
              <w:rPr>
                <w:rFonts w:hint="default"/>
              </w:rPr>
              <w:t>维修服务</w:t>
            </w:r>
          </w:p>
        </w:tc>
        <w:tc>
          <w:tcPr>
            <w:tcW w:w="4937" w:type="dxa"/>
          </w:tcPr>
          <w:p w14:paraId="68FFA39A">
            <w:pPr>
              <w:spacing w:line="400" w:lineRule="exact"/>
              <w:jc w:val="left"/>
              <w:rPr>
                <w:rFonts w:ascii="宋体" w:hAnsi="宋体" w:cs="宋体"/>
                <w:sz w:val="20"/>
                <w:szCs w:val="20"/>
              </w:rPr>
            </w:pPr>
            <w:r>
              <w:rPr>
                <w:rFonts w:hint="eastAsia" w:ascii="宋体" w:hAnsi="宋体" w:cs="宋体"/>
                <w:sz w:val="20"/>
                <w:szCs w:val="20"/>
              </w:rPr>
              <w:t>保修期内，如设备出现故障,接到采购人报修电话后需立即响应，厂方工程师能通过电话方式指导排除问题，响应时间≤</w:t>
            </w:r>
            <w:r>
              <w:rPr>
                <w:rFonts w:hint="eastAsia" w:ascii="宋体" w:hAnsi="宋体" w:cs="宋体"/>
                <w:sz w:val="20"/>
                <w:szCs w:val="20"/>
                <w:u w:val="single"/>
              </w:rPr>
              <w:t>2小时</w:t>
            </w:r>
            <w:r>
              <w:rPr>
                <w:rFonts w:hint="eastAsia" w:ascii="宋体" w:hAnsi="宋体" w:cs="宋体"/>
                <w:sz w:val="20"/>
                <w:szCs w:val="20"/>
              </w:rPr>
              <w:t>；无法排除处理时，</w:t>
            </w:r>
            <w:r>
              <w:rPr>
                <w:rFonts w:hint="eastAsia" w:ascii="宋体" w:hAnsi="宋体" w:cs="宋体"/>
                <w:sz w:val="20"/>
                <w:szCs w:val="20"/>
                <w:u w:val="single"/>
              </w:rPr>
              <w:t>≤8小时</w:t>
            </w:r>
            <w:r>
              <w:rPr>
                <w:rFonts w:hint="eastAsia" w:ascii="宋体" w:hAnsi="宋体" w:cs="宋体"/>
                <w:sz w:val="20"/>
                <w:szCs w:val="20"/>
              </w:rPr>
              <w:t>内到达现场服务；如遇重大技术问题需及时组织各相关技术人员进行讨论，确定方案，并以最快的速度解决采购人的问题。</w:t>
            </w:r>
          </w:p>
        </w:tc>
      </w:tr>
      <w:tr w14:paraId="3D149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3DE45EE1">
            <w:pPr>
              <w:spacing w:line="360" w:lineRule="auto"/>
              <w:jc w:val="center"/>
            </w:pPr>
            <w:r>
              <w:rPr>
                <w:sz w:val="20"/>
                <w:szCs w:val="20"/>
              </w:rPr>
              <w:t>★</w:t>
            </w:r>
          </w:p>
        </w:tc>
        <w:tc>
          <w:tcPr>
            <w:tcW w:w="1245" w:type="dxa"/>
            <w:vAlign w:val="center"/>
          </w:tcPr>
          <w:p w14:paraId="321BC290">
            <w:pPr>
              <w:pStyle w:val="25"/>
              <w:spacing w:line="360" w:lineRule="auto"/>
              <w:jc w:val="center"/>
              <w:rPr>
                <w:rFonts w:hint="default"/>
                <w:lang w:eastAsia="zh-CN"/>
              </w:rPr>
            </w:pPr>
            <w:r>
              <w:rPr>
                <w:lang w:eastAsia="zh-CN"/>
              </w:rPr>
              <w:t>5</w:t>
            </w:r>
          </w:p>
        </w:tc>
        <w:tc>
          <w:tcPr>
            <w:tcW w:w="1485" w:type="dxa"/>
            <w:gridSpan w:val="2"/>
            <w:vAlign w:val="center"/>
          </w:tcPr>
          <w:p w14:paraId="1A0432F8">
            <w:pPr>
              <w:pStyle w:val="25"/>
              <w:spacing w:line="360" w:lineRule="auto"/>
              <w:jc w:val="center"/>
              <w:rPr>
                <w:rFonts w:hint="default"/>
                <w:lang w:eastAsia="zh-CN"/>
              </w:rPr>
            </w:pPr>
            <w:r>
              <w:rPr>
                <w:rFonts w:hint="default"/>
                <w:lang w:eastAsia="zh-CN"/>
              </w:rPr>
              <w:t>保养服务</w:t>
            </w:r>
          </w:p>
        </w:tc>
        <w:tc>
          <w:tcPr>
            <w:tcW w:w="4937" w:type="dxa"/>
          </w:tcPr>
          <w:p w14:paraId="6B0A94CE">
            <w:pPr>
              <w:spacing w:line="360" w:lineRule="auto"/>
              <w:rPr>
                <w:rFonts w:ascii="宋体" w:hAnsi="宋体" w:cs="宋体"/>
                <w:sz w:val="20"/>
                <w:szCs w:val="20"/>
              </w:rPr>
            </w:pPr>
            <w:r>
              <w:rPr>
                <w:rFonts w:hint="eastAsia" w:ascii="宋体" w:hAnsi="宋体" w:cs="宋体"/>
                <w:sz w:val="20"/>
                <w:szCs w:val="20"/>
              </w:rPr>
              <w:t>保修期内由具备设备原厂授权资质的技术人员上门，提供设备巡检、保养、质控服务，并提供完整的服务报告，频率≥</w:t>
            </w:r>
            <w:r>
              <w:rPr>
                <w:rFonts w:hint="eastAsia" w:ascii="宋体" w:hAnsi="宋体" w:cs="宋体"/>
                <w:sz w:val="20"/>
                <w:szCs w:val="20"/>
                <w:u w:val="single"/>
              </w:rPr>
              <w:t>2次/年</w:t>
            </w:r>
            <w:r>
              <w:rPr>
                <w:rFonts w:hint="eastAsia" w:ascii="宋体" w:hAnsi="宋体" w:cs="宋体"/>
                <w:sz w:val="20"/>
                <w:szCs w:val="20"/>
              </w:rPr>
              <w:t>，除耗材及易损件费用外，免收人工费、差旅费、配件费等其他费用。同时，须按照设备维护保养手册及相关规范要求，对设备执行预防性维修及维护保养，频率≥</w:t>
            </w:r>
            <w:r>
              <w:rPr>
                <w:rFonts w:hint="eastAsia" w:ascii="宋体" w:hAnsi="宋体" w:cs="宋体"/>
                <w:sz w:val="20"/>
                <w:szCs w:val="20"/>
                <w:u w:val="single"/>
              </w:rPr>
              <w:t>1次/年</w:t>
            </w:r>
            <w:r>
              <w:rPr>
                <w:rFonts w:hint="eastAsia" w:ascii="宋体" w:hAnsi="宋体" w:cs="宋体"/>
                <w:sz w:val="20"/>
                <w:szCs w:val="20"/>
              </w:rPr>
              <w:t>；维护保养内容包括但不限于相关保养套件更换、性能检测等，完成后出具书面报告，所更换的保养套件、维护相关材料等费用由中标人承担。</w:t>
            </w:r>
          </w:p>
        </w:tc>
      </w:tr>
      <w:tr w14:paraId="2AA2C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tcPr>
          <w:p w14:paraId="024142EF">
            <w:pPr>
              <w:jc w:val="center"/>
            </w:pPr>
          </w:p>
        </w:tc>
        <w:tc>
          <w:tcPr>
            <w:tcW w:w="1245" w:type="dxa"/>
            <w:vAlign w:val="center"/>
          </w:tcPr>
          <w:p w14:paraId="535B5583">
            <w:pPr>
              <w:pStyle w:val="25"/>
              <w:jc w:val="center"/>
              <w:rPr>
                <w:rFonts w:hint="default"/>
                <w:lang w:eastAsia="zh-CN"/>
              </w:rPr>
            </w:pPr>
            <w:r>
              <w:rPr>
                <w:lang w:eastAsia="zh-CN"/>
              </w:rPr>
              <w:t>6</w:t>
            </w:r>
          </w:p>
        </w:tc>
        <w:tc>
          <w:tcPr>
            <w:tcW w:w="1485" w:type="dxa"/>
            <w:gridSpan w:val="2"/>
            <w:vAlign w:val="center"/>
          </w:tcPr>
          <w:p w14:paraId="6B52D520">
            <w:pPr>
              <w:pStyle w:val="25"/>
              <w:jc w:val="center"/>
              <w:rPr>
                <w:rFonts w:hint="default"/>
                <w:lang w:eastAsia="zh-CN"/>
              </w:rPr>
            </w:pPr>
            <w:r>
              <w:rPr>
                <w:rFonts w:ascii="宋体" w:hAnsi="宋体" w:cs="宋体"/>
                <w:szCs w:val="22"/>
                <w:lang w:eastAsia="zh-CN"/>
              </w:rPr>
              <w:t>维修配件</w:t>
            </w:r>
          </w:p>
        </w:tc>
        <w:tc>
          <w:tcPr>
            <w:tcW w:w="4937" w:type="dxa"/>
          </w:tcPr>
          <w:p w14:paraId="77C1BC6D">
            <w:pPr>
              <w:pStyle w:val="25"/>
              <w:rPr>
                <w:rFonts w:hint="default" w:ascii="宋体" w:hAnsi="宋体" w:cs="宋体"/>
                <w:szCs w:val="22"/>
                <w:lang w:eastAsia="zh-CN"/>
              </w:rPr>
            </w:pPr>
            <w:r>
              <w:rPr>
                <w:rFonts w:ascii="宋体" w:hAnsi="宋体" w:cs="宋体"/>
                <w:szCs w:val="22"/>
                <w:lang w:eastAsia="zh-CN"/>
              </w:rPr>
              <w:t>维修配件能够长期供应，厂家保证在设备停产后备件供应：</w:t>
            </w:r>
            <w:r>
              <w:rPr>
                <w:rFonts w:ascii="宋体" w:hAnsi="宋体" w:cs="宋体"/>
                <w:szCs w:val="22"/>
                <w:u w:val="single"/>
                <w:lang w:eastAsia="zh-CN"/>
              </w:rPr>
              <w:t>≥10年</w:t>
            </w:r>
            <w:r>
              <w:rPr>
                <w:rFonts w:ascii="宋体" w:hAnsi="宋体" w:cs="宋体"/>
                <w:szCs w:val="22"/>
                <w:lang w:eastAsia="zh-CN"/>
              </w:rPr>
              <w:t>。</w:t>
            </w:r>
          </w:p>
        </w:tc>
      </w:tr>
      <w:tr w14:paraId="0BD1A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6D4992EF">
            <w:pPr>
              <w:pStyle w:val="25"/>
              <w:jc w:val="center"/>
              <w:rPr>
                <w:rFonts w:hint="default"/>
              </w:rPr>
            </w:pPr>
          </w:p>
        </w:tc>
        <w:tc>
          <w:tcPr>
            <w:tcW w:w="1245" w:type="dxa"/>
            <w:vAlign w:val="center"/>
          </w:tcPr>
          <w:p w14:paraId="2C6EA0F1">
            <w:pPr>
              <w:pStyle w:val="25"/>
              <w:jc w:val="center"/>
              <w:rPr>
                <w:rFonts w:hint="default"/>
                <w:lang w:eastAsia="zh-CN"/>
              </w:rPr>
            </w:pPr>
            <w:r>
              <w:rPr>
                <w:lang w:eastAsia="zh-CN"/>
              </w:rPr>
              <w:t>7</w:t>
            </w:r>
          </w:p>
        </w:tc>
        <w:tc>
          <w:tcPr>
            <w:tcW w:w="1485" w:type="dxa"/>
            <w:gridSpan w:val="2"/>
            <w:vAlign w:val="center"/>
          </w:tcPr>
          <w:p w14:paraId="1CF62607">
            <w:pPr>
              <w:pStyle w:val="25"/>
              <w:jc w:val="center"/>
              <w:rPr>
                <w:rFonts w:hint="default"/>
                <w:lang w:eastAsia="zh-CN"/>
              </w:rPr>
            </w:pPr>
            <w:r>
              <w:rPr>
                <w:rFonts w:hint="default"/>
                <w:lang w:eastAsia="zh-CN"/>
              </w:rPr>
              <w:t>软件更新升级</w:t>
            </w:r>
          </w:p>
        </w:tc>
        <w:tc>
          <w:tcPr>
            <w:tcW w:w="4937" w:type="dxa"/>
          </w:tcPr>
          <w:p w14:paraId="4B57AD20">
            <w:pPr>
              <w:pStyle w:val="25"/>
              <w:rPr>
                <w:rFonts w:hint="default" w:ascii="宋体" w:hAnsi="宋体" w:cs="宋体"/>
                <w:szCs w:val="22"/>
                <w:lang w:eastAsia="zh-CN"/>
              </w:rPr>
            </w:pPr>
            <w:r>
              <w:rPr>
                <w:rFonts w:ascii="宋体" w:hAnsi="宋体" w:cs="宋体"/>
                <w:szCs w:val="22"/>
                <w:lang w:eastAsia="zh-CN"/>
              </w:rPr>
              <w:t>设备保修期内根据厂家发布的最新版本软件随时更新升级，相关费用由中标人承担。</w:t>
            </w:r>
          </w:p>
        </w:tc>
      </w:tr>
      <w:tr w14:paraId="62E77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45B9E5FE">
            <w:pPr>
              <w:pStyle w:val="25"/>
              <w:jc w:val="center"/>
              <w:rPr>
                <w:rFonts w:hint="default"/>
              </w:rPr>
            </w:pPr>
          </w:p>
        </w:tc>
        <w:tc>
          <w:tcPr>
            <w:tcW w:w="1245" w:type="dxa"/>
            <w:vAlign w:val="center"/>
          </w:tcPr>
          <w:p w14:paraId="4957009B">
            <w:pPr>
              <w:pStyle w:val="25"/>
              <w:jc w:val="center"/>
              <w:rPr>
                <w:rFonts w:hint="default"/>
                <w:lang w:eastAsia="zh-CN"/>
              </w:rPr>
            </w:pPr>
            <w:r>
              <w:rPr>
                <w:lang w:eastAsia="zh-CN"/>
              </w:rPr>
              <w:t>8</w:t>
            </w:r>
          </w:p>
        </w:tc>
        <w:tc>
          <w:tcPr>
            <w:tcW w:w="1485" w:type="dxa"/>
            <w:gridSpan w:val="2"/>
            <w:vAlign w:val="center"/>
          </w:tcPr>
          <w:p w14:paraId="202F1C52">
            <w:pPr>
              <w:pStyle w:val="25"/>
              <w:jc w:val="center"/>
              <w:rPr>
                <w:rFonts w:hint="default"/>
                <w:lang w:eastAsia="zh-CN"/>
              </w:rPr>
            </w:pPr>
            <w:r>
              <w:rPr>
                <w:rFonts w:hint="default"/>
                <w:lang w:eastAsia="zh-CN"/>
              </w:rPr>
              <w:t>到货要求</w:t>
            </w:r>
          </w:p>
        </w:tc>
        <w:tc>
          <w:tcPr>
            <w:tcW w:w="4937" w:type="dxa"/>
          </w:tcPr>
          <w:p w14:paraId="4B8816A0">
            <w:pPr>
              <w:pStyle w:val="25"/>
              <w:rPr>
                <w:rFonts w:hint="default" w:ascii="宋体" w:hAnsi="宋体" w:cs="宋体"/>
                <w:szCs w:val="22"/>
                <w:lang w:eastAsia="zh-CN"/>
              </w:rPr>
            </w:pPr>
            <w:r>
              <w:rPr>
                <w:rFonts w:ascii="宋体" w:hAnsi="宋体" w:cs="宋体"/>
                <w:szCs w:val="22"/>
                <w:lang w:eastAsia="zh-CN"/>
              </w:rPr>
              <w:t>自合同签订</w:t>
            </w:r>
            <w:r>
              <w:rPr>
                <w:lang w:eastAsia="zh-CN"/>
              </w:rPr>
              <w:t>之</w:t>
            </w:r>
            <w:r>
              <w:rPr>
                <w:rFonts w:ascii="宋体" w:hAnsi="宋体" w:cs="宋体"/>
                <w:szCs w:val="22"/>
                <w:lang w:eastAsia="zh-CN"/>
              </w:rPr>
              <w:t>日起，到货时间</w:t>
            </w:r>
            <w:r>
              <w:rPr>
                <w:rFonts w:ascii="宋体" w:hAnsi="宋体" w:cs="宋体"/>
                <w:szCs w:val="22"/>
                <w:u w:val="single"/>
                <w:lang w:eastAsia="zh-CN"/>
              </w:rPr>
              <w:t>≤30天</w:t>
            </w:r>
            <w:r>
              <w:rPr>
                <w:rFonts w:ascii="宋体" w:hAnsi="宋体" w:cs="宋体"/>
                <w:szCs w:val="22"/>
                <w:lang w:eastAsia="zh-CN"/>
              </w:rPr>
              <w:t>；如采购人有特殊需求，另行协商。</w:t>
            </w:r>
          </w:p>
        </w:tc>
      </w:tr>
      <w:tr w14:paraId="2DC76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1B0D061E">
            <w:pPr>
              <w:pStyle w:val="25"/>
              <w:jc w:val="center"/>
              <w:rPr>
                <w:rFonts w:hint="default"/>
              </w:rPr>
            </w:pPr>
          </w:p>
        </w:tc>
        <w:tc>
          <w:tcPr>
            <w:tcW w:w="1245" w:type="dxa"/>
            <w:vAlign w:val="center"/>
          </w:tcPr>
          <w:p w14:paraId="4BD80F4B">
            <w:pPr>
              <w:pStyle w:val="25"/>
              <w:jc w:val="center"/>
              <w:rPr>
                <w:rFonts w:hint="default"/>
                <w:lang w:eastAsia="zh-CN"/>
              </w:rPr>
            </w:pPr>
            <w:r>
              <w:rPr>
                <w:lang w:eastAsia="zh-CN"/>
              </w:rPr>
              <w:t>9</w:t>
            </w:r>
          </w:p>
        </w:tc>
        <w:tc>
          <w:tcPr>
            <w:tcW w:w="1485" w:type="dxa"/>
            <w:gridSpan w:val="2"/>
            <w:vAlign w:val="center"/>
          </w:tcPr>
          <w:p w14:paraId="04360A68">
            <w:pPr>
              <w:pStyle w:val="25"/>
              <w:jc w:val="center"/>
              <w:rPr>
                <w:rFonts w:hint="default"/>
                <w:lang w:eastAsia="zh-CN"/>
              </w:rPr>
            </w:pPr>
            <w:r>
              <w:rPr>
                <w:rFonts w:hint="default"/>
                <w:lang w:eastAsia="zh-CN"/>
              </w:rPr>
              <w:t>安装调试</w:t>
            </w:r>
          </w:p>
        </w:tc>
        <w:tc>
          <w:tcPr>
            <w:tcW w:w="4937" w:type="dxa"/>
          </w:tcPr>
          <w:p w14:paraId="357CB0E2">
            <w:pPr>
              <w:pStyle w:val="25"/>
              <w:rPr>
                <w:rFonts w:hint="default" w:ascii="宋体" w:hAnsi="宋体" w:cs="宋体"/>
                <w:szCs w:val="22"/>
                <w:lang w:eastAsia="zh-CN"/>
              </w:rPr>
            </w:pPr>
            <w:r>
              <w:rPr>
                <w:rFonts w:ascii="宋体" w:hAnsi="宋体" w:cs="宋体"/>
                <w:szCs w:val="22"/>
                <w:lang w:eastAsia="zh-CN"/>
              </w:rPr>
              <w:t>设备到达采购人项目现场前，中标人提供安装前期准备书面通知，并协助采购人做好安装前准备。到货后由中标人的技术人员到现场进行安装调试，采购人无需额外支付相关费用。安装、调试后应达到承诺的技术指标。</w:t>
            </w:r>
          </w:p>
        </w:tc>
      </w:tr>
      <w:tr w14:paraId="7BF75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48C00225">
            <w:pPr>
              <w:pStyle w:val="25"/>
              <w:jc w:val="center"/>
              <w:rPr>
                <w:rFonts w:hint="default"/>
              </w:rPr>
            </w:pPr>
            <w:r>
              <w:rPr>
                <w:lang w:eastAsia="zh-CN"/>
              </w:rPr>
              <w:t>★</w:t>
            </w:r>
          </w:p>
        </w:tc>
        <w:tc>
          <w:tcPr>
            <w:tcW w:w="1245" w:type="dxa"/>
            <w:vAlign w:val="center"/>
          </w:tcPr>
          <w:p w14:paraId="47BC0287">
            <w:pPr>
              <w:pStyle w:val="25"/>
              <w:jc w:val="center"/>
              <w:rPr>
                <w:rFonts w:hint="default"/>
                <w:lang w:eastAsia="zh-CN"/>
              </w:rPr>
            </w:pPr>
            <w:r>
              <w:rPr>
                <w:lang w:eastAsia="zh-CN"/>
              </w:rPr>
              <w:t>10</w:t>
            </w:r>
          </w:p>
        </w:tc>
        <w:tc>
          <w:tcPr>
            <w:tcW w:w="1485" w:type="dxa"/>
            <w:gridSpan w:val="2"/>
            <w:vAlign w:val="center"/>
          </w:tcPr>
          <w:p w14:paraId="513CF4C0">
            <w:pPr>
              <w:pStyle w:val="25"/>
              <w:jc w:val="center"/>
              <w:rPr>
                <w:rFonts w:hint="default"/>
                <w:lang w:eastAsia="zh-CN"/>
              </w:rPr>
            </w:pPr>
            <w:r>
              <w:rPr>
                <w:rFonts w:hint="default"/>
                <w:lang w:eastAsia="zh-CN"/>
              </w:rPr>
              <w:t>信息接口</w:t>
            </w:r>
          </w:p>
        </w:tc>
        <w:tc>
          <w:tcPr>
            <w:tcW w:w="4937" w:type="dxa"/>
          </w:tcPr>
          <w:p w14:paraId="345F4DF6">
            <w:pPr>
              <w:pStyle w:val="25"/>
              <w:rPr>
                <w:rFonts w:hint="default" w:ascii="宋体" w:hAnsi="宋体" w:cs="宋体"/>
                <w:szCs w:val="22"/>
                <w:lang w:eastAsia="zh-CN"/>
              </w:rPr>
            </w:pPr>
            <w:r>
              <w:rPr>
                <w:rFonts w:ascii="宋体" w:hAnsi="宋体" w:cs="宋体"/>
                <w:szCs w:val="22"/>
                <w:lang w:eastAsia="zh-CN"/>
              </w:rPr>
              <w:t>设备如需与采购人信息系统（如：PACS、LIS、HIS系统等）连接，信息系统接口等费用由中标人承担。</w:t>
            </w:r>
          </w:p>
        </w:tc>
      </w:tr>
      <w:tr w14:paraId="59F9D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3919912E">
            <w:pPr>
              <w:pStyle w:val="25"/>
              <w:jc w:val="center"/>
              <w:rPr>
                <w:rFonts w:hint="default"/>
              </w:rPr>
            </w:pPr>
          </w:p>
        </w:tc>
        <w:tc>
          <w:tcPr>
            <w:tcW w:w="1245" w:type="dxa"/>
            <w:vAlign w:val="center"/>
          </w:tcPr>
          <w:p w14:paraId="3521649C">
            <w:pPr>
              <w:pStyle w:val="25"/>
              <w:jc w:val="center"/>
              <w:rPr>
                <w:rFonts w:hint="default"/>
                <w:lang w:eastAsia="zh-CN"/>
              </w:rPr>
            </w:pPr>
            <w:r>
              <w:rPr>
                <w:lang w:eastAsia="zh-CN"/>
              </w:rPr>
              <w:t>11</w:t>
            </w:r>
          </w:p>
        </w:tc>
        <w:tc>
          <w:tcPr>
            <w:tcW w:w="1485" w:type="dxa"/>
            <w:gridSpan w:val="2"/>
            <w:vAlign w:val="center"/>
          </w:tcPr>
          <w:p w14:paraId="08FA69AC">
            <w:pPr>
              <w:pStyle w:val="25"/>
              <w:jc w:val="center"/>
              <w:rPr>
                <w:rFonts w:hint="default"/>
                <w:lang w:eastAsia="zh-CN"/>
              </w:rPr>
            </w:pPr>
            <w:r>
              <w:rPr>
                <w:rFonts w:hint="default"/>
                <w:lang w:eastAsia="zh-CN"/>
              </w:rPr>
              <w:t>备品提供</w:t>
            </w:r>
          </w:p>
        </w:tc>
        <w:tc>
          <w:tcPr>
            <w:tcW w:w="4937" w:type="dxa"/>
          </w:tcPr>
          <w:p w14:paraId="0290A16F">
            <w:pPr>
              <w:pStyle w:val="25"/>
              <w:rPr>
                <w:rFonts w:hint="default" w:ascii="宋体" w:hAnsi="宋体" w:cs="宋体"/>
                <w:szCs w:val="22"/>
                <w:lang w:eastAsia="zh-CN"/>
              </w:rPr>
            </w:pPr>
            <w:r>
              <w:rPr>
                <w:rFonts w:ascii="宋体" w:hAnsi="宋体" w:cs="宋体"/>
                <w:szCs w:val="22"/>
                <w:lang w:eastAsia="zh-CN"/>
              </w:rPr>
              <w:t>保修期内如设备出现故障，≥10个工作日无法修复的，中标人需提供备品给采购人使用。</w:t>
            </w:r>
          </w:p>
        </w:tc>
      </w:tr>
      <w:tr w14:paraId="51C73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4BA91ABE">
            <w:pPr>
              <w:pStyle w:val="25"/>
              <w:jc w:val="center"/>
              <w:rPr>
                <w:rFonts w:hint="default"/>
              </w:rPr>
            </w:pPr>
            <w:r>
              <w:rPr>
                <w:lang w:eastAsia="zh-CN"/>
              </w:rPr>
              <w:t>★</w:t>
            </w:r>
          </w:p>
        </w:tc>
        <w:tc>
          <w:tcPr>
            <w:tcW w:w="1245" w:type="dxa"/>
            <w:vAlign w:val="center"/>
          </w:tcPr>
          <w:p w14:paraId="4D59AFC8">
            <w:pPr>
              <w:pStyle w:val="25"/>
              <w:jc w:val="center"/>
              <w:rPr>
                <w:rFonts w:hint="default"/>
                <w:lang w:eastAsia="zh-CN"/>
              </w:rPr>
            </w:pPr>
            <w:r>
              <w:rPr>
                <w:lang w:eastAsia="zh-CN"/>
              </w:rPr>
              <w:t>12</w:t>
            </w:r>
          </w:p>
        </w:tc>
        <w:tc>
          <w:tcPr>
            <w:tcW w:w="1485" w:type="dxa"/>
            <w:gridSpan w:val="2"/>
            <w:vAlign w:val="center"/>
          </w:tcPr>
          <w:p w14:paraId="1D424B88">
            <w:pPr>
              <w:pStyle w:val="25"/>
              <w:jc w:val="center"/>
              <w:rPr>
                <w:rFonts w:hint="default"/>
                <w:lang w:eastAsia="zh-CN"/>
              </w:rPr>
            </w:pPr>
            <w:r>
              <w:rPr>
                <w:rFonts w:hint="default"/>
                <w:lang w:eastAsia="zh-CN"/>
              </w:rPr>
              <w:t>计量校准</w:t>
            </w:r>
          </w:p>
        </w:tc>
        <w:tc>
          <w:tcPr>
            <w:tcW w:w="4937" w:type="dxa"/>
          </w:tcPr>
          <w:p w14:paraId="50A0ABB2">
            <w:pPr>
              <w:pStyle w:val="25"/>
              <w:rPr>
                <w:rFonts w:hint="default" w:ascii="宋体" w:hAnsi="宋体" w:cs="宋体"/>
                <w:szCs w:val="22"/>
                <w:lang w:eastAsia="zh-CN"/>
              </w:rPr>
            </w:pPr>
            <w:r>
              <w:rPr>
                <w:rFonts w:ascii="宋体" w:hAnsi="宋体" w:cs="宋体"/>
                <w:szCs w:val="22"/>
                <w:lang w:eastAsia="zh-CN"/>
              </w:rPr>
              <w:t>按照国家、省市相关规范及行业相关标准要求，如需进行计量校准（包括强制检定器具、以及非强制检定器具，检定依据《中华人民共和国计量法》及其实施细则等法律法规执行）的设备及附属设施，需由第三方专业机构进行计量校准及相关检测，相关检测费用由中标人承担。</w:t>
            </w:r>
          </w:p>
        </w:tc>
      </w:tr>
      <w:tr w14:paraId="35470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08E8C40E">
            <w:pPr>
              <w:pStyle w:val="25"/>
              <w:jc w:val="center"/>
              <w:rPr>
                <w:rFonts w:hint="default"/>
              </w:rPr>
            </w:pPr>
          </w:p>
        </w:tc>
        <w:tc>
          <w:tcPr>
            <w:tcW w:w="1245" w:type="dxa"/>
            <w:vAlign w:val="center"/>
          </w:tcPr>
          <w:p w14:paraId="21730C70">
            <w:pPr>
              <w:pStyle w:val="25"/>
              <w:jc w:val="center"/>
              <w:rPr>
                <w:rFonts w:hint="default"/>
                <w:lang w:eastAsia="zh-CN"/>
              </w:rPr>
            </w:pPr>
            <w:r>
              <w:rPr>
                <w:lang w:eastAsia="zh-CN"/>
              </w:rPr>
              <w:t>13</w:t>
            </w:r>
          </w:p>
        </w:tc>
        <w:tc>
          <w:tcPr>
            <w:tcW w:w="1485" w:type="dxa"/>
            <w:gridSpan w:val="2"/>
            <w:vAlign w:val="center"/>
          </w:tcPr>
          <w:p w14:paraId="703BB4CC">
            <w:pPr>
              <w:pStyle w:val="25"/>
              <w:jc w:val="center"/>
              <w:rPr>
                <w:rFonts w:hint="default"/>
                <w:lang w:eastAsia="zh-CN"/>
              </w:rPr>
            </w:pPr>
            <w:r>
              <w:rPr>
                <w:rFonts w:hint="default"/>
                <w:lang w:eastAsia="zh-CN"/>
              </w:rPr>
              <w:t>设备出厂时间要求</w:t>
            </w:r>
          </w:p>
        </w:tc>
        <w:tc>
          <w:tcPr>
            <w:tcW w:w="4937" w:type="dxa"/>
          </w:tcPr>
          <w:p w14:paraId="49A47766">
            <w:pPr>
              <w:pStyle w:val="25"/>
              <w:rPr>
                <w:rFonts w:hint="default" w:ascii="宋体" w:hAnsi="宋体" w:cs="宋体"/>
                <w:szCs w:val="22"/>
                <w:lang w:eastAsia="zh-CN"/>
              </w:rPr>
            </w:pPr>
            <w:r>
              <w:rPr>
                <w:rFonts w:ascii="宋体" w:hAnsi="宋体" w:cs="宋体"/>
                <w:szCs w:val="22"/>
                <w:lang w:eastAsia="zh-CN"/>
              </w:rPr>
              <w:t>设备出厂时间要求：交货设备须为最新出厂的设备，设备到货日期距生产日期：进口设备≤</w:t>
            </w:r>
            <w:r>
              <w:rPr>
                <w:rFonts w:ascii="宋体" w:hAnsi="宋体" w:cs="宋体"/>
                <w:szCs w:val="22"/>
                <w:u w:val="single"/>
                <w:lang w:eastAsia="zh-CN"/>
              </w:rPr>
              <w:t>8个月</w:t>
            </w:r>
            <w:r>
              <w:rPr>
                <w:rFonts w:ascii="宋体" w:hAnsi="宋体" w:cs="宋体"/>
                <w:szCs w:val="22"/>
                <w:lang w:eastAsia="zh-CN"/>
              </w:rPr>
              <w:t>，国产设备≤</w:t>
            </w:r>
            <w:r>
              <w:rPr>
                <w:rFonts w:ascii="宋体" w:hAnsi="宋体" w:cs="宋体"/>
                <w:szCs w:val="22"/>
                <w:u w:val="single"/>
                <w:lang w:eastAsia="zh-CN"/>
              </w:rPr>
              <w:t>4个月</w:t>
            </w:r>
            <w:r>
              <w:rPr>
                <w:rFonts w:ascii="宋体" w:hAnsi="宋体" w:cs="宋体"/>
                <w:szCs w:val="22"/>
                <w:lang w:eastAsia="zh-CN"/>
              </w:rPr>
              <w:t>。</w:t>
            </w:r>
          </w:p>
        </w:tc>
      </w:tr>
      <w:tr w14:paraId="519D3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3F41B911">
            <w:pPr>
              <w:pStyle w:val="25"/>
              <w:jc w:val="center"/>
              <w:rPr>
                <w:rFonts w:hint="default"/>
              </w:rPr>
            </w:pPr>
          </w:p>
        </w:tc>
        <w:tc>
          <w:tcPr>
            <w:tcW w:w="1245" w:type="dxa"/>
            <w:vAlign w:val="center"/>
          </w:tcPr>
          <w:p w14:paraId="6C977F74">
            <w:pPr>
              <w:pStyle w:val="25"/>
              <w:jc w:val="center"/>
              <w:rPr>
                <w:rFonts w:hint="default"/>
                <w:lang w:eastAsia="zh-CN"/>
              </w:rPr>
            </w:pPr>
            <w:r>
              <w:rPr>
                <w:lang w:eastAsia="zh-CN"/>
              </w:rPr>
              <w:t>14</w:t>
            </w:r>
          </w:p>
        </w:tc>
        <w:tc>
          <w:tcPr>
            <w:tcW w:w="1485" w:type="dxa"/>
            <w:gridSpan w:val="2"/>
            <w:vAlign w:val="center"/>
          </w:tcPr>
          <w:p w14:paraId="2C1F157F">
            <w:pPr>
              <w:pStyle w:val="25"/>
              <w:jc w:val="center"/>
              <w:rPr>
                <w:rFonts w:hint="default"/>
                <w:lang w:eastAsia="zh-CN"/>
              </w:rPr>
            </w:pPr>
            <w:r>
              <w:rPr>
                <w:rFonts w:hint="default"/>
                <w:lang w:eastAsia="zh-CN"/>
              </w:rPr>
              <w:t>培训要求</w:t>
            </w:r>
          </w:p>
        </w:tc>
        <w:tc>
          <w:tcPr>
            <w:tcW w:w="4937" w:type="dxa"/>
          </w:tcPr>
          <w:p w14:paraId="571412EC">
            <w:pPr>
              <w:pStyle w:val="25"/>
              <w:rPr>
                <w:rFonts w:hint="default" w:ascii="宋体" w:hAnsi="宋体" w:cs="宋体"/>
                <w:szCs w:val="22"/>
                <w:lang w:eastAsia="zh-CN"/>
              </w:rPr>
            </w:pPr>
            <w:r>
              <w:rPr>
                <w:rFonts w:ascii="宋体" w:hAnsi="宋体" w:cs="宋体"/>
                <w:szCs w:val="22"/>
                <w:lang w:eastAsia="zh-CN"/>
              </w:rPr>
              <w:t>（1）设备安装时提供操作培训、临床应用培训、清洁消毒培训及维修保养培训等设备使用及日常管理的相关培训，同时在后续使用中能根据采购人需要提供相关补充培训，确保设备使用维护良好；</w:t>
            </w:r>
          </w:p>
          <w:p w14:paraId="53AD3128">
            <w:pPr>
              <w:pStyle w:val="25"/>
              <w:rPr>
                <w:rFonts w:hint="default" w:ascii="宋体" w:hAnsi="宋体" w:cs="宋体"/>
                <w:szCs w:val="22"/>
                <w:lang w:eastAsia="zh-CN"/>
              </w:rPr>
            </w:pPr>
            <w:r>
              <w:rPr>
                <w:rFonts w:ascii="宋体" w:hAnsi="宋体" w:cs="宋体"/>
                <w:szCs w:val="22"/>
                <w:lang w:eastAsia="zh-CN"/>
              </w:rPr>
              <w:t>（2）临床应用培训：中标人负责安排具备设备原厂临床应用培训老师，上门提供设备临床应用培训≥</w:t>
            </w:r>
            <w:r>
              <w:rPr>
                <w:rFonts w:ascii="宋体" w:hAnsi="宋体" w:cs="宋体"/>
                <w:szCs w:val="22"/>
                <w:u w:val="single"/>
                <w:lang w:eastAsia="zh-CN"/>
              </w:rPr>
              <w:t>1次</w:t>
            </w:r>
            <w:r>
              <w:rPr>
                <w:rFonts w:ascii="宋体" w:hAnsi="宋体" w:cs="宋体"/>
                <w:szCs w:val="22"/>
                <w:lang w:eastAsia="zh-CN"/>
              </w:rPr>
              <w:t>，每次≥</w:t>
            </w:r>
            <w:r>
              <w:rPr>
                <w:rFonts w:ascii="宋体" w:hAnsi="宋体" w:cs="宋体"/>
                <w:szCs w:val="22"/>
                <w:u w:val="single"/>
                <w:lang w:eastAsia="zh-CN"/>
              </w:rPr>
              <w:t>1天</w:t>
            </w:r>
            <w:r>
              <w:rPr>
                <w:rFonts w:ascii="宋体" w:hAnsi="宋体" w:cs="宋体"/>
                <w:szCs w:val="22"/>
                <w:lang w:eastAsia="zh-CN"/>
              </w:rPr>
              <w:t>，相关费用由中标人承担；</w:t>
            </w:r>
          </w:p>
          <w:p w14:paraId="1048A04E">
            <w:pPr>
              <w:pStyle w:val="25"/>
              <w:rPr>
                <w:rFonts w:hint="default" w:ascii="宋体" w:hAnsi="宋体" w:cs="宋体"/>
                <w:szCs w:val="22"/>
                <w:lang w:eastAsia="zh-CN"/>
              </w:rPr>
            </w:pPr>
            <w:r>
              <w:rPr>
                <w:rFonts w:ascii="宋体" w:hAnsi="宋体" w:cs="宋体"/>
                <w:szCs w:val="22"/>
                <w:lang w:eastAsia="zh-CN"/>
              </w:rPr>
              <w:t>（3）维修维护培训：中标人负责对采购人的工程技术人员进行设备维修、保养、巡检、质控等设备后续运维相关的培训，相关费用由中标人承担；</w:t>
            </w:r>
          </w:p>
        </w:tc>
      </w:tr>
      <w:tr w14:paraId="6A57B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4F8427B8">
            <w:pPr>
              <w:pStyle w:val="25"/>
              <w:jc w:val="center"/>
              <w:rPr>
                <w:rFonts w:hint="default"/>
              </w:rPr>
            </w:pPr>
          </w:p>
        </w:tc>
        <w:tc>
          <w:tcPr>
            <w:tcW w:w="1245" w:type="dxa"/>
            <w:vAlign w:val="center"/>
          </w:tcPr>
          <w:p w14:paraId="39EF1740">
            <w:pPr>
              <w:pStyle w:val="25"/>
              <w:jc w:val="center"/>
              <w:rPr>
                <w:rFonts w:hint="default"/>
                <w:lang w:eastAsia="zh-CN"/>
              </w:rPr>
            </w:pPr>
            <w:r>
              <w:rPr>
                <w:lang w:eastAsia="zh-CN"/>
              </w:rPr>
              <w:t>15</w:t>
            </w:r>
          </w:p>
        </w:tc>
        <w:tc>
          <w:tcPr>
            <w:tcW w:w="1485" w:type="dxa"/>
            <w:gridSpan w:val="2"/>
            <w:vAlign w:val="center"/>
          </w:tcPr>
          <w:p w14:paraId="29E08279">
            <w:pPr>
              <w:pStyle w:val="25"/>
              <w:jc w:val="center"/>
              <w:rPr>
                <w:rFonts w:hint="default"/>
                <w:lang w:eastAsia="zh-CN"/>
              </w:rPr>
            </w:pPr>
            <w:r>
              <w:rPr>
                <w:rFonts w:hint="default"/>
                <w:lang w:eastAsia="zh-CN"/>
              </w:rPr>
              <w:t>资料文书</w:t>
            </w:r>
          </w:p>
        </w:tc>
        <w:tc>
          <w:tcPr>
            <w:tcW w:w="4937" w:type="dxa"/>
          </w:tcPr>
          <w:p w14:paraId="4FF2A660">
            <w:pPr>
              <w:pStyle w:val="25"/>
              <w:rPr>
                <w:rFonts w:hint="default" w:ascii="宋体" w:hAnsi="宋体" w:cs="宋体"/>
                <w:szCs w:val="22"/>
                <w:lang w:eastAsia="zh-CN"/>
              </w:rPr>
            </w:pPr>
            <w:r>
              <w:rPr>
                <w:rFonts w:ascii="宋体" w:hAnsi="宋体" w:cs="宋体"/>
                <w:szCs w:val="22"/>
                <w:lang w:eastAsia="zh-CN"/>
              </w:rPr>
              <w:t>供货时提供整套完整的中文技术文件，包括产品合格证、使用说明书、简明操作流程卡、维修保养手册等。</w:t>
            </w:r>
          </w:p>
        </w:tc>
      </w:tr>
      <w:tr w14:paraId="25DBF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3"/>
          </w:tcPr>
          <w:p w14:paraId="52BF983E">
            <w:pPr>
              <w:pStyle w:val="25"/>
              <w:spacing w:line="360" w:lineRule="auto"/>
              <w:jc w:val="center"/>
              <w:rPr>
                <w:rFonts w:hint="default"/>
              </w:rPr>
            </w:pPr>
            <w:r>
              <w:t>说明</w:t>
            </w:r>
          </w:p>
        </w:tc>
        <w:tc>
          <w:tcPr>
            <w:tcW w:w="6092" w:type="dxa"/>
            <w:gridSpan w:val="2"/>
          </w:tcPr>
          <w:p w14:paraId="592A54F7">
            <w:pPr>
              <w:pStyle w:val="25"/>
              <w:rPr>
                <w:rFonts w:hint="default"/>
                <w:lang w:eastAsia="zh-CN"/>
              </w:rPr>
            </w:pPr>
            <w:r>
              <w:rPr>
                <w:lang w:eastAsia="zh-CN"/>
              </w:rPr>
              <w:t xml:space="preserve">打“★”号条款为实质性条款，若有任何一条负偏离或不满足则导致投标（响应）无效。 </w:t>
            </w:r>
            <w:r>
              <w:rPr>
                <w:lang w:eastAsia="zh-CN"/>
              </w:rPr>
              <w:br w:type="textWrapping"/>
            </w:r>
            <w:r>
              <w:rPr>
                <w:lang w:eastAsia="zh-CN"/>
              </w:rPr>
              <w:t>打“▲”号条款为重要参数（如有），若有部分“▲”条款未响应或不满足，将根据评审要求影响其得分，但不作为无效投标（响应）条款。</w:t>
            </w:r>
          </w:p>
        </w:tc>
      </w:tr>
    </w:tbl>
    <w:p w14:paraId="16C75299">
      <w:pPr>
        <w:pStyle w:val="25"/>
        <w:rPr>
          <w:rFonts w:hint="default" w:ascii="宋体" w:hAnsi="宋体" w:cs="宋体"/>
          <w:b/>
        </w:rPr>
      </w:pPr>
    </w:p>
    <w:p w14:paraId="0EFF0733">
      <w:pPr>
        <w:pStyle w:val="25"/>
        <w:rPr>
          <w:rFonts w:hint="default" w:ascii="宋体" w:hAnsi="宋体" w:cs="宋体"/>
          <w:sz w:val="24"/>
          <w:szCs w:val="24"/>
        </w:rPr>
      </w:pPr>
      <w:r>
        <w:rPr>
          <w:rFonts w:ascii="宋体" w:hAnsi="宋体" w:cs="宋体"/>
          <w:b/>
          <w:sz w:val="24"/>
          <w:szCs w:val="24"/>
          <w:lang w:eastAsia="zh-CN"/>
        </w:rPr>
        <w:t>3</w:t>
      </w:r>
      <w:r>
        <w:rPr>
          <w:rFonts w:ascii="宋体" w:hAnsi="宋体" w:cs="宋体"/>
          <w:b/>
          <w:sz w:val="24"/>
          <w:szCs w:val="24"/>
        </w:rPr>
        <w:t>.技术标准与要求</w:t>
      </w:r>
    </w:p>
    <w:tbl>
      <w:tblPr>
        <w:tblStyle w:val="20"/>
        <w:tblW w:w="895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3"/>
        <w:gridCol w:w="1149"/>
        <w:gridCol w:w="808"/>
        <w:gridCol w:w="1646"/>
        <w:gridCol w:w="634"/>
        <w:gridCol w:w="1066"/>
        <w:gridCol w:w="1067"/>
        <w:gridCol w:w="1060"/>
        <w:gridCol w:w="1037"/>
      </w:tblGrid>
      <w:tr w14:paraId="46315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483" w:type="dxa"/>
            <w:vAlign w:val="center"/>
          </w:tcPr>
          <w:p w14:paraId="6D32315B">
            <w:pPr>
              <w:pStyle w:val="25"/>
              <w:jc w:val="center"/>
              <w:rPr>
                <w:rFonts w:hint="default" w:ascii="宋体" w:hAnsi="宋体" w:cs="宋体"/>
                <w:b/>
                <w:bCs/>
                <w:kern w:val="2"/>
                <w:lang w:eastAsia="zh-CN"/>
              </w:rPr>
            </w:pPr>
            <w:r>
              <w:rPr>
                <w:rFonts w:ascii="宋体" w:hAnsi="宋体" w:cs="宋体"/>
                <w:b/>
                <w:bCs/>
                <w:kern w:val="2"/>
                <w:lang w:eastAsia="zh-CN"/>
              </w:rPr>
              <w:t>序号</w:t>
            </w:r>
          </w:p>
        </w:tc>
        <w:tc>
          <w:tcPr>
            <w:tcW w:w="1149" w:type="dxa"/>
            <w:vAlign w:val="center"/>
          </w:tcPr>
          <w:p w14:paraId="37370DCC">
            <w:pPr>
              <w:pStyle w:val="25"/>
              <w:jc w:val="center"/>
              <w:rPr>
                <w:rFonts w:hint="default" w:ascii="宋体" w:hAnsi="宋体" w:cs="宋体"/>
                <w:b/>
                <w:bCs/>
                <w:kern w:val="2"/>
                <w:lang w:eastAsia="zh-CN"/>
              </w:rPr>
            </w:pPr>
            <w:r>
              <w:rPr>
                <w:rFonts w:ascii="宋体" w:hAnsi="宋体" w:cs="宋体"/>
                <w:b/>
                <w:bCs/>
                <w:kern w:val="2"/>
                <w:lang w:eastAsia="zh-CN"/>
              </w:rPr>
              <w:t>核心产品要求（  “△”）</w:t>
            </w:r>
          </w:p>
        </w:tc>
        <w:tc>
          <w:tcPr>
            <w:tcW w:w="808" w:type="dxa"/>
            <w:vAlign w:val="center"/>
          </w:tcPr>
          <w:p w14:paraId="7B6E1140">
            <w:pPr>
              <w:pStyle w:val="25"/>
              <w:jc w:val="center"/>
              <w:rPr>
                <w:rFonts w:hint="default" w:ascii="宋体" w:hAnsi="宋体" w:cs="宋体"/>
                <w:b/>
                <w:bCs/>
                <w:kern w:val="2"/>
                <w:lang w:eastAsia="zh-CN"/>
              </w:rPr>
            </w:pPr>
            <w:r>
              <w:rPr>
                <w:rFonts w:asciiTheme="minorEastAsia" w:hAnsiTheme="minorEastAsia" w:eastAsiaTheme="minorEastAsia" w:cstheme="minorEastAsia"/>
                <w:b/>
                <w:bCs/>
                <w:lang w:eastAsia="zh-CN"/>
              </w:rPr>
              <w:t>项目属性</w:t>
            </w:r>
          </w:p>
        </w:tc>
        <w:tc>
          <w:tcPr>
            <w:tcW w:w="1646" w:type="dxa"/>
            <w:vAlign w:val="center"/>
          </w:tcPr>
          <w:p w14:paraId="2E5752D2">
            <w:pPr>
              <w:pStyle w:val="25"/>
              <w:jc w:val="center"/>
              <w:rPr>
                <w:rFonts w:hint="default" w:ascii="宋体" w:hAnsi="宋体" w:cs="宋体"/>
                <w:b/>
                <w:bCs/>
                <w:kern w:val="2"/>
                <w:lang w:eastAsia="zh-CN"/>
              </w:rPr>
            </w:pPr>
            <w:r>
              <w:rPr>
                <w:rFonts w:ascii="宋体" w:hAnsi="宋体" w:cs="宋体"/>
                <w:b/>
                <w:bCs/>
                <w:kern w:val="2"/>
                <w:lang w:eastAsia="zh-CN"/>
              </w:rPr>
              <w:t>标的名称</w:t>
            </w:r>
          </w:p>
        </w:tc>
        <w:tc>
          <w:tcPr>
            <w:tcW w:w="634" w:type="dxa"/>
            <w:vAlign w:val="center"/>
          </w:tcPr>
          <w:p w14:paraId="277229BA">
            <w:pPr>
              <w:pStyle w:val="25"/>
              <w:jc w:val="center"/>
              <w:rPr>
                <w:rFonts w:hint="default" w:ascii="宋体" w:hAnsi="宋体" w:cs="宋体"/>
                <w:b/>
                <w:bCs/>
                <w:kern w:val="2"/>
                <w:lang w:eastAsia="zh-CN"/>
              </w:rPr>
            </w:pPr>
            <w:r>
              <w:rPr>
                <w:rFonts w:ascii="宋体" w:hAnsi="宋体" w:cs="宋体"/>
                <w:b/>
                <w:bCs/>
                <w:kern w:val="2"/>
                <w:lang w:eastAsia="zh-CN"/>
              </w:rPr>
              <w:t>数量</w:t>
            </w:r>
          </w:p>
        </w:tc>
        <w:tc>
          <w:tcPr>
            <w:tcW w:w="1066" w:type="dxa"/>
            <w:vAlign w:val="center"/>
          </w:tcPr>
          <w:p w14:paraId="12760B2A">
            <w:pPr>
              <w:pStyle w:val="25"/>
              <w:jc w:val="center"/>
              <w:rPr>
                <w:rFonts w:hint="default" w:ascii="宋体" w:hAnsi="宋体" w:cs="宋体"/>
                <w:b/>
                <w:bCs/>
                <w:kern w:val="2"/>
                <w:lang w:eastAsia="zh-CN"/>
              </w:rPr>
            </w:pPr>
            <w:r>
              <w:rPr>
                <w:rFonts w:asciiTheme="minorEastAsia" w:hAnsiTheme="minorEastAsia" w:eastAsiaTheme="minorEastAsia" w:cstheme="minorEastAsia"/>
                <w:b/>
                <w:bCs/>
              </w:rPr>
              <w:t>分项预算单价（元）</w:t>
            </w:r>
          </w:p>
        </w:tc>
        <w:tc>
          <w:tcPr>
            <w:tcW w:w="1067" w:type="dxa"/>
            <w:vAlign w:val="center"/>
          </w:tcPr>
          <w:p w14:paraId="547829C5">
            <w:pPr>
              <w:pStyle w:val="25"/>
              <w:jc w:val="center"/>
              <w:rPr>
                <w:rFonts w:hint="default" w:ascii="宋体" w:hAnsi="宋体" w:cs="宋体"/>
                <w:b/>
                <w:bCs/>
                <w:kern w:val="2"/>
                <w:lang w:eastAsia="zh-CN"/>
              </w:rPr>
            </w:pPr>
            <w:r>
              <w:rPr>
                <w:rFonts w:asciiTheme="minorEastAsia" w:hAnsiTheme="minorEastAsia" w:eastAsiaTheme="minorEastAsia" w:cstheme="minorEastAsia"/>
                <w:b/>
                <w:bCs/>
              </w:rPr>
              <w:t>分项预算总价（元）</w:t>
            </w:r>
          </w:p>
        </w:tc>
        <w:tc>
          <w:tcPr>
            <w:tcW w:w="1060" w:type="dxa"/>
            <w:vAlign w:val="center"/>
          </w:tcPr>
          <w:p w14:paraId="380C00A1">
            <w:pPr>
              <w:pStyle w:val="25"/>
              <w:jc w:val="center"/>
              <w:rPr>
                <w:rFonts w:hint="default" w:ascii="宋体" w:hAnsi="宋体" w:cs="宋体"/>
                <w:b/>
                <w:bCs/>
                <w:kern w:val="2"/>
                <w:lang w:eastAsia="zh-CN"/>
              </w:rPr>
            </w:pPr>
            <w:r>
              <w:rPr>
                <w:rFonts w:ascii="宋体" w:hAnsi="宋体" w:cs="宋体"/>
                <w:b/>
                <w:bCs/>
                <w:kern w:val="2"/>
                <w:lang w:eastAsia="zh-CN"/>
              </w:rPr>
              <w:t>所属行业</w:t>
            </w:r>
          </w:p>
        </w:tc>
        <w:tc>
          <w:tcPr>
            <w:tcW w:w="1037" w:type="dxa"/>
            <w:vAlign w:val="center"/>
          </w:tcPr>
          <w:p w14:paraId="4566225B">
            <w:pPr>
              <w:pStyle w:val="25"/>
              <w:jc w:val="center"/>
              <w:rPr>
                <w:rFonts w:hint="default" w:ascii="宋体" w:hAnsi="宋体" w:cs="宋体"/>
                <w:b/>
                <w:bCs/>
                <w:kern w:val="2"/>
                <w:lang w:eastAsia="zh-CN"/>
              </w:rPr>
            </w:pPr>
            <w:r>
              <w:rPr>
                <w:rFonts w:ascii="宋体" w:hAnsi="宋体" w:cs="宋体"/>
                <w:b/>
                <w:bCs/>
                <w:kern w:val="2"/>
                <w:lang w:eastAsia="zh-CN"/>
              </w:rPr>
              <w:t>技术要求</w:t>
            </w:r>
          </w:p>
        </w:tc>
      </w:tr>
      <w:tr w14:paraId="26B3A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483" w:type="dxa"/>
            <w:vAlign w:val="center"/>
          </w:tcPr>
          <w:p w14:paraId="711A4D29">
            <w:pPr>
              <w:pStyle w:val="25"/>
              <w:jc w:val="center"/>
              <w:rPr>
                <w:rFonts w:hint="default" w:ascii="宋体" w:hAnsi="宋体" w:cs="宋体"/>
                <w:kern w:val="2"/>
                <w:lang w:eastAsia="zh-CN"/>
              </w:rPr>
            </w:pPr>
            <w:r>
              <w:rPr>
                <w:rFonts w:ascii="宋体" w:hAnsi="宋体" w:cs="宋体"/>
                <w:kern w:val="2"/>
                <w:lang w:eastAsia="zh-CN"/>
              </w:rPr>
              <w:t>1</w:t>
            </w:r>
          </w:p>
        </w:tc>
        <w:tc>
          <w:tcPr>
            <w:tcW w:w="1149" w:type="dxa"/>
            <w:vAlign w:val="center"/>
          </w:tcPr>
          <w:p w14:paraId="7A2C299D">
            <w:pPr>
              <w:pStyle w:val="25"/>
              <w:jc w:val="center"/>
              <w:rPr>
                <w:rFonts w:hint="default" w:ascii="宋体" w:hAnsi="宋体" w:cs="宋体"/>
                <w:kern w:val="2"/>
                <w:lang w:eastAsia="zh-CN"/>
              </w:rPr>
            </w:pPr>
            <w:r>
              <w:rPr>
                <w:rFonts w:ascii="宋体" w:hAnsi="宋体" w:cs="宋体"/>
                <w:kern w:val="2"/>
                <w:lang w:eastAsia="zh-CN"/>
              </w:rPr>
              <w:t>△</w:t>
            </w:r>
          </w:p>
        </w:tc>
        <w:tc>
          <w:tcPr>
            <w:tcW w:w="808" w:type="dxa"/>
            <w:vAlign w:val="center"/>
          </w:tcPr>
          <w:p w14:paraId="4E51DC39">
            <w:pPr>
              <w:pStyle w:val="25"/>
              <w:jc w:val="center"/>
              <w:rPr>
                <w:rFonts w:hint="default" w:ascii="宋体" w:hAnsi="宋体" w:cs="宋体"/>
                <w:kern w:val="2"/>
                <w:highlight w:val="yellow"/>
                <w:lang w:eastAsia="zh-CN"/>
              </w:rPr>
            </w:pPr>
            <w:r>
              <w:rPr>
                <w:rFonts w:asciiTheme="minorEastAsia" w:hAnsiTheme="minorEastAsia" w:eastAsiaTheme="minorEastAsia" w:cstheme="minorEastAsia"/>
                <w:lang w:eastAsia="zh-CN"/>
              </w:rPr>
              <w:t>货物</w:t>
            </w:r>
          </w:p>
        </w:tc>
        <w:tc>
          <w:tcPr>
            <w:tcW w:w="1646" w:type="dxa"/>
            <w:vAlign w:val="center"/>
          </w:tcPr>
          <w:p w14:paraId="3C5AF4A4">
            <w:pPr>
              <w:pStyle w:val="25"/>
              <w:jc w:val="center"/>
              <w:rPr>
                <w:rFonts w:hint="default" w:ascii="宋体" w:hAnsi="宋体" w:cs="宋体"/>
                <w:kern w:val="2"/>
                <w:lang w:eastAsia="zh-CN"/>
              </w:rPr>
            </w:pPr>
            <w:r>
              <w:rPr>
                <w:rFonts w:ascii="宋体" w:hAnsi="宋体" w:cs="宋体"/>
                <w:kern w:val="2"/>
                <w:lang w:eastAsia="zh-CN"/>
              </w:rPr>
              <w:t>新生儿呼吸机采购项目</w:t>
            </w:r>
          </w:p>
        </w:tc>
        <w:tc>
          <w:tcPr>
            <w:tcW w:w="634" w:type="dxa"/>
            <w:vAlign w:val="center"/>
          </w:tcPr>
          <w:p w14:paraId="5B8C36F1">
            <w:pPr>
              <w:pStyle w:val="25"/>
              <w:jc w:val="center"/>
              <w:rPr>
                <w:rFonts w:hint="default" w:ascii="宋体" w:hAnsi="宋体" w:cs="宋体"/>
                <w:kern w:val="2"/>
                <w:lang w:eastAsia="zh-CN"/>
              </w:rPr>
            </w:pPr>
            <w:r>
              <w:rPr>
                <w:rFonts w:ascii="宋体" w:hAnsi="宋体" w:cs="宋体"/>
                <w:kern w:val="2"/>
                <w:lang w:eastAsia="zh-CN"/>
              </w:rPr>
              <w:t>1套</w:t>
            </w:r>
          </w:p>
        </w:tc>
        <w:tc>
          <w:tcPr>
            <w:tcW w:w="1066" w:type="dxa"/>
            <w:vAlign w:val="center"/>
          </w:tcPr>
          <w:p w14:paraId="213F8288">
            <w:pPr>
              <w:pStyle w:val="25"/>
              <w:jc w:val="center"/>
              <w:rPr>
                <w:rFonts w:hint="default" w:ascii="宋体" w:hAnsi="宋体" w:cs="宋体"/>
                <w:kern w:val="2"/>
                <w:highlight w:val="yellow"/>
                <w:lang w:eastAsia="zh-CN"/>
              </w:rPr>
            </w:pPr>
            <w:r>
              <w:rPr>
                <w:rFonts w:asciiTheme="minorEastAsia" w:hAnsiTheme="minorEastAsia" w:eastAsiaTheme="minorEastAsia" w:cstheme="minorEastAsia"/>
                <w:lang w:eastAsia="zh-CN"/>
              </w:rPr>
              <w:t>469,500.00</w:t>
            </w:r>
          </w:p>
        </w:tc>
        <w:tc>
          <w:tcPr>
            <w:tcW w:w="1067" w:type="dxa"/>
            <w:vAlign w:val="center"/>
          </w:tcPr>
          <w:p w14:paraId="535E55D2">
            <w:pPr>
              <w:pStyle w:val="25"/>
              <w:jc w:val="center"/>
              <w:rPr>
                <w:rFonts w:hint="default" w:ascii="宋体" w:hAnsi="宋体" w:cs="宋体"/>
                <w:kern w:val="2"/>
                <w:highlight w:val="yellow"/>
                <w:lang w:eastAsia="zh-CN"/>
              </w:rPr>
            </w:pPr>
            <w:r>
              <w:rPr>
                <w:rFonts w:asciiTheme="minorEastAsia" w:hAnsiTheme="minorEastAsia" w:eastAsiaTheme="minorEastAsia" w:cstheme="minorEastAsia"/>
                <w:lang w:eastAsia="zh-CN"/>
              </w:rPr>
              <w:t>469,500.00</w:t>
            </w:r>
          </w:p>
        </w:tc>
        <w:tc>
          <w:tcPr>
            <w:tcW w:w="1060" w:type="dxa"/>
            <w:vAlign w:val="center"/>
          </w:tcPr>
          <w:p w14:paraId="2D3BD837">
            <w:pPr>
              <w:pStyle w:val="25"/>
              <w:jc w:val="center"/>
              <w:rPr>
                <w:rFonts w:hint="default" w:ascii="宋体" w:hAnsi="宋体" w:cs="宋体"/>
                <w:kern w:val="2"/>
                <w:lang w:eastAsia="zh-CN"/>
              </w:rPr>
            </w:pPr>
            <w:r>
              <w:rPr>
                <w:rFonts w:asciiTheme="minorEastAsia" w:hAnsiTheme="minorEastAsia" w:eastAsiaTheme="minorEastAsia" w:cstheme="minorEastAsia"/>
                <w:lang w:eastAsia="zh-CN"/>
              </w:rPr>
              <w:t>工业</w:t>
            </w:r>
          </w:p>
        </w:tc>
        <w:tc>
          <w:tcPr>
            <w:tcW w:w="1037" w:type="dxa"/>
            <w:vAlign w:val="center"/>
          </w:tcPr>
          <w:p w14:paraId="70499B31">
            <w:pPr>
              <w:pStyle w:val="25"/>
              <w:jc w:val="center"/>
              <w:rPr>
                <w:rFonts w:hint="default" w:ascii="宋体" w:hAnsi="宋体" w:cs="宋体"/>
                <w:kern w:val="2"/>
                <w:lang w:eastAsia="zh-CN"/>
              </w:rPr>
            </w:pPr>
            <w:r>
              <w:rPr>
                <w:rFonts w:ascii="宋体" w:hAnsi="宋体" w:cs="宋体"/>
                <w:kern w:val="2"/>
                <w:lang w:eastAsia="zh-CN"/>
              </w:rPr>
              <w:t>详见附表一</w:t>
            </w:r>
          </w:p>
        </w:tc>
      </w:tr>
    </w:tbl>
    <w:p w14:paraId="7F8C7461">
      <w:pPr>
        <w:pStyle w:val="25"/>
        <w:rPr>
          <w:rFonts w:hint="default" w:ascii="宋体" w:hAnsi="宋体" w:cs="宋体"/>
          <w:b/>
          <w:lang w:eastAsia="zh-CN"/>
        </w:rPr>
      </w:pPr>
      <w:r>
        <w:rPr>
          <w:rFonts w:ascii="宋体" w:hAnsi="宋体" w:cs="宋体"/>
          <w:b/>
        </w:rPr>
        <w:t>附表一：</w:t>
      </w:r>
    </w:p>
    <w:tbl>
      <w:tblPr>
        <w:tblStyle w:val="20"/>
        <w:tblW w:w="9540" w:type="dxa"/>
        <w:tblInd w:w="-35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7"/>
        <w:gridCol w:w="576"/>
        <w:gridCol w:w="8247"/>
      </w:tblGrid>
      <w:tr w14:paraId="1DF8B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6C99709C">
            <w:pPr>
              <w:pStyle w:val="25"/>
              <w:spacing w:line="360" w:lineRule="auto"/>
              <w:rPr>
                <w:rFonts w:hint="default" w:ascii="宋体" w:hAnsi="宋体" w:cs="宋体"/>
              </w:rPr>
            </w:pPr>
            <w:r>
              <w:rPr>
                <w:rFonts w:ascii="宋体" w:hAnsi="宋体" w:cs="宋体"/>
              </w:rPr>
              <w:t>参数性质</w:t>
            </w:r>
          </w:p>
        </w:tc>
        <w:tc>
          <w:tcPr>
            <w:tcW w:w="576" w:type="dxa"/>
          </w:tcPr>
          <w:p w14:paraId="06D14339">
            <w:pPr>
              <w:pStyle w:val="25"/>
              <w:spacing w:line="360" w:lineRule="auto"/>
              <w:rPr>
                <w:rFonts w:hint="default" w:ascii="宋体" w:hAnsi="宋体" w:cs="宋体"/>
              </w:rPr>
            </w:pPr>
            <w:r>
              <w:rPr>
                <w:rFonts w:ascii="宋体" w:hAnsi="宋体" w:cs="宋体"/>
              </w:rPr>
              <w:t>序号</w:t>
            </w:r>
          </w:p>
        </w:tc>
        <w:tc>
          <w:tcPr>
            <w:tcW w:w="8247" w:type="dxa"/>
          </w:tcPr>
          <w:p w14:paraId="581C77A0">
            <w:pPr>
              <w:pStyle w:val="25"/>
              <w:spacing w:line="360" w:lineRule="auto"/>
              <w:rPr>
                <w:rFonts w:hint="default" w:ascii="宋体" w:hAnsi="宋体" w:cs="宋体"/>
              </w:rPr>
            </w:pPr>
            <w:r>
              <w:rPr>
                <w:rFonts w:ascii="宋体" w:hAnsi="宋体" w:cs="宋体"/>
              </w:rPr>
              <w:t>具体技术(参数)要求</w:t>
            </w:r>
          </w:p>
        </w:tc>
      </w:tr>
      <w:tr w14:paraId="3A43B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493C7578">
            <w:pPr>
              <w:spacing w:line="360" w:lineRule="auto"/>
              <w:rPr>
                <w:rFonts w:ascii="宋体" w:hAnsi="宋体" w:cs="宋体"/>
                <w:sz w:val="20"/>
                <w:szCs w:val="20"/>
              </w:rPr>
            </w:pPr>
          </w:p>
        </w:tc>
        <w:tc>
          <w:tcPr>
            <w:tcW w:w="576" w:type="dxa"/>
          </w:tcPr>
          <w:p w14:paraId="559449C5">
            <w:pPr>
              <w:pStyle w:val="25"/>
              <w:spacing w:line="360" w:lineRule="auto"/>
              <w:rPr>
                <w:rFonts w:hint="default" w:ascii="宋体" w:hAnsi="宋体" w:cs="宋体"/>
                <w:lang w:eastAsia="zh-CN"/>
              </w:rPr>
            </w:pPr>
            <w:r>
              <w:rPr>
                <w:rFonts w:ascii="宋体" w:hAnsi="宋体" w:cs="宋体"/>
                <w:lang w:eastAsia="zh-CN"/>
              </w:rPr>
              <w:t>1</w:t>
            </w:r>
          </w:p>
        </w:tc>
        <w:tc>
          <w:tcPr>
            <w:tcW w:w="8247" w:type="dxa"/>
            <w:shd w:val="clear" w:color="auto" w:fill="auto"/>
            <w:vAlign w:val="center"/>
          </w:tcPr>
          <w:p w14:paraId="5856C071">
            <w:pPr>
              <w:pStyle w:val="2"/>
              <w:rPr>
                <w:rFonts w:ascii="宋体" w:hAnsi="宋体" w:cs="宋体"/>
                <w:kern w:val="2"/>
                <w:sz w:val="20"/>
              </w:rPr>
            </w:pPr>
            <w:r>
              <w:rPr>
                <w:rFonts w:ascii="宋体" w:hAnsi="宋体" w:cs="宋体"/>
                <w:b/>
                <w:bCs/>
                <w:kern w:val="2"/>
                <w:sz w:val="20"/>
              </w:rPr>
              <w:t>采购项目的基本信息：</w:t>
            </w:r>
          </w:p>
          <w:p w14:paraId="557CC606">
            <w:pPr>
              <w:pStyle w:val="2"/>
              <w:rPr>
                <w:rFonts w:ascii="宋体" w:hAnsi="宋体" w:cs="宋体"/>
                <w:kern w:val="2"/>
                <w:sz w:val="20"/>
              </w:rPr>
            </w:pPr>
            <w:r>
              <w:rPr>
                <w:rFonts w:ascii="宋体" w:hAnsi="宋体" w:cs="宋体"/>
                <w:kern w:val="2"/>
                <w:sz w:val="20"/>
              </w:rPr>
              <w:t>（一）设备需要实现的功能和目标：用于新生儿患者的通气辅助及呼吸支持。</w:t>
            </w:r>
          </w:p>
          <w:p w14:paraId="3890C402">
            <w:pPr>
              <w:pStyle w:val="2"/>
              <w:rPr>
                <w:rFonts w:ascii="宋体" w:hAnsi="宋体" w:cs="宋体"/>
                <w:kern w:val="2"/>
                <w:sz w:val="20"/>
              </w:rPr>
            </w:pPr>
            <w:r>
              <w:rPr>
                <w:rFonts w:ascii="宋体" w:hAnsi="宋体" w:cs="宋体"/>
                <w:kern w:val="2"/>
                <w:sz w:val="20"/>
              </w:rPr>
              <w:t>（二）</w:t>
            </w:r>
            <w:r>
              <w:rPr>
                <w:rFonts w:hint="eastAsia" w:ascii="宋体" w:hAnsi="宋体" w:cs="宋体"/>
                <w:kern w:val="2"/>
                <w:sz w:val="20"/>
              </w:rPr>
              <w:t>预算</w:t>
            </w:r>
            <w:r>
              <w:rPr>
                <w:rFonts w:ascii="宋体" w:hAnsi="宋体" w:cs="宋体"/>
                <w:kern w:val="2"/>
                <w:sz w:val="20"/>
              </w:rPr>
              <w:t xml:space="preserve">单价： 46.95万元， </w:t>
            </w:r>
          </w:p>
          <w:p w14:paraId="3ABC1EA9">
            <w:pPr>
              <w:pStyle w:val="2"/>
              <w:rPr>
                <w:rFonts w:ascii="宋体" w:hAnsi="宋体" w:cs="宋体"/>
                <w:kern w:val="2"/>
                <w:sz w:val="20"/>
              </w:rPr>
            </w:pPr>
            <w:r>
              <w:rPr>
                <w:rFonts w:ascii="宋体" w:hAnsi="宋体" w:cs="宋体"/>
                <w:kern w:val="2"/>
                <w:sz w:val="20"/>
              </w:rPr>
              <w:t>（三）数量：1套</w:t>
            </w:r>
          </w:p>
          <w:p w14:paraId="0719798F">
            <w:pPr>
              <w:pStyle w:val="2"/>
              <w:rPr>
                <w:rFonts w:ascii="宋体" w:hAnsi="宋体" w:cs="宋体"/>
                <w:kern w:val="2"/>
                <w:sz w:val="20"/>
              </w:rPr>
            </w:pPr>
            <w:r>
              <w:rPr>
                <w:rFonts w:hint="eastAsia" w:ascii="宋体" w:hAnsi="宋体" w:cs="宋体"/>
                <w:kern w:val="2"/>
                <w:sz w:val="20"/>
              </w:rPr>
              <w:t>（四）预算</w:t>
            </w:r>
            <w:r>
              <w:rPr>
                <w:rFonts w:ascii="宋体" w:hAnsi="宋体" w:cs="宋体"/>
                <w:kern w:val="2"/>
                <w:sz w:val="20"/>
              </w:rPr>
              <w:t>总价：46.95万元，</w:t>
            </w:r>
          </w:p>
        </w:tc>
      </w:tr>
      <w:tr w14:paraId="26750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1F6FD07B">
            <w:pPr>
              <w:spacing w:line="360" w:lineRule="auto"/>
              <w:rPr>
                <w:rFonts w:ascii="宋体" w:hAnsi="宋体" w:cs="宋体"/>
                <w:sz w:val="20"/>
                <w:szCs w:val="20"/>
              </w:rPr>
            </w:pPr>
          </w:p>
        </w:tc>
        <w:tc>
          <w:tcPr>
            <w:tcW w:w="576" w:type="dxa"/>
          </w:tcPr>
          <w:p w14:paraId="79D6EB36">
            <w:pPr>
              <w:pStyle w:val="25"/>
              <w:spacing w:line="360" w:lineRule="auto"/>
              <w:rPr>
                <w:rFonts w:hint="default" w:ascii="宋体" w:hAnsi="宋体" w:cs="宋体"/>
                <w:lang w:eastAsia="zh-CN"/>
              </w:rPr>
            </w:pPr>
            <w:r>
              <w:rPr>
                <w:rFonts w:ascii="宋体" w:hAnsi="宋体" w:cs="宋体"/>
                <w:lang w:eastAsia="zh-CN"/>
              </w:rPr>
              <w:t>2</w:t>
            </w:r>
          </w:p>
        </w:tc>
        <w:tc>
          <w:tcPr>
            <w:tcW w:w="8247" w:type="dxa"/>
            <w:shd w:val="clear" w:color="auto" w:fill="auto"/>
            <w:vAlign w:val="center"/>
          </w:tcPr>
          <w:p w14:paraId="0A9F58F5">
            <w:pPr>
              <w:pStyle w:val="2"/>
              <w:rPr>
                <w:rFonts w:ascii="宋体" w:hAnsi="宋体" w:cs="宋体"/>
                <w:b/>
                <w:bCs/>
                <w:kern w:val="2"/>
                <w:sz w:val="20"/>
              </w:rPr>
            </w:pPr>
            <w:r>
              <w:rPr>
                <w:rFonts w:ascii="宋体" w:hAnsi="宋体" w:cs="宋体"/>
                <w:b/>
                <w:bCs/>
                <w:kern w:val="2"/>
                <w:sz w:val="20"/>
              </w:rPr>
              <w:t>技术参数</w:t>
            </w:r>
            <w:r>
              <w:rPr>
                <w:rFonts w:hint="eastAsia" w:ascii="宋体" w:hAnsi="宋体" w:cs="宋体"/>
                <w:b/>
                <w:bCs/>
                <w:kern w:val="2"/>
                <w:sz w:val="20"/>
              </w:rPr>
              <w:t>：</w:t>
            </w:r>
          </w:p>
          <w:p w14:paraId="2D778D77">
            <w:pPr>
              <w:pStyle w:val="2"/>
              <w:rPr>
                <w:rFonts w:ascii="宋体" w:hAnsi="宋体" w:cs="宋体"/>
                <w:kern w:val="2"/>
                <w:sz w:val="20"/>
              </w:rPr>
            </w:pPr>
            <w:r>
              <w:rPr>
                <w:rFonts w:ascii="宋体" w:hAnsi="宋体" w:cs="宋体"/>
                <w:kern w:val="2"/>
                <w:sz w:val="20"/>
              </w:rPr>
              <w:t>1.★所投产品纳入医疗器械管理的，提供以下材料（如国家另有规定，则适用其规定）：第二类或第三类医疗器械产品，须提供产品合法有效的《中华人民共和国医疗器械注册证》扫描件，且所投产品型号必须与医疗器械注册证显示型号一致（注册证过期的，须提供网上可以查询的延期公告，如因其他特殊原因查询不到，须提供国家药品监督管理局受理的医疗器械注册延期通知书；涉及型号变更的须提供监督管理部门审核通过的变更文件）。第一类医疗器械产品，须提供产品《第一类医疗器械备案凭证》；</w:t>
            </w:r>
          </w:p>
          <w:p w14:paraId="6D583493">
            <w:pPr>
              <w:pStyle w:val="2"/>
              <w:rPr>
                <w:rFonts w:ascii="宋体" w:hAnsi="宋体" w:cs="宋体"/>
                <w:kern w:val="2"/>
                <w:sz w:val="20"/>
              </w:rPr>
            </w:pPr>
            <w:r>
              <w:rPr>
                <w:rFonts w:ascii="宋体" w:hAnsi="宋体" w:cs="宋体"/>
                <w:kern w:val="2"/>
                <w:sz w:val="20"/>
              </w:rPr>
              <w:t>2.适用于儿童、婴幼儿、新生儿和早产儿的呼吸治疗；</w:t>
            </w:r>
          </w:p>
          <w:p w14:paraId="1810F84D">
            <w:pPr>
              <w:pStyle w:val="2"/>
              <w:rPr>
                <w:rFonts w:ascii="宋体" w:hAnsi="宋体" w:cs="宋体"/>
                <w:kern w:val="2"/>
                <w:sz w:val="20"/>
              </w:rPr>
            </w:pPr>
            <w:r>
              <w:rPr>
                <w:rFonts w:ascii="宋体" w:hAnsi="宋体" w:cs="宋体"/>
                <w:kern w:val="2"/>
                <w:sz w:val="20"/>
              </w:rPr>
              <w:t>3.▲具备有创、无创及高流速氧疗通气方式，满足贯序治疗，能够进行常频和高频通气，高频通气可应用于0-20公斤的病人；</w:t>
            </w:r>
          </w:p>
          <w:p w14:paraId="6F6FABCF">
            <w:pPr>
              <w:pStyle w:val="2"/>
              <w:rPr>
                <w:rFonts w:ascii="宋体" w:hAnsi="宋体" w:cs="宋体"/>
                <w:kern w:val="2"/>
                <w:sz w:val="20"/>
              </w:rPr>
            </w:pPr>
            <w:r>
              <w:rPr>
                <w:rFonts w:ascii="宋体" w:hAnsi="宋体" w:cs="宋体"/>
                <w:kern w:val="2"/>
                <w:sz w:val="20"/>
              </w:rPr>
              <w:t>4.控制原理：持续气流，压力控制，时间切换，恒流式呼吸机；</w:t>
            </w:r>
          </w:p>
          <w:p w14:paraId="69A6CF04">
            <w:pPr>
              <w:pStyle w:val="2"/>
              <w:rPr>
                <w:rFonts w:ascii="宋体" w:hAnsi="宋体" w:cs="宋体"/>
                <w:kern w:val="2"/>
                <w:sz w:val="20"/>
              </w:rPr>
            </w:pPr>
            <w:r>
              <w:rPr>
                <w:rFonts w:ascii="宋体" w:hAnsi="宋体" w:cs="宋体"/>
                <w:kern w:val="2"/>
                <w:sz w:val="20"/>
              </w:rPr>
              <w:t>5.触发方式：流量触发或压力触发；</w:t>
            </w:r>
          </w:p>
          <w:p w14:paraId="7CF0DED2">
            <w:pPr>
              <w:pStyle w:val="2"/>
              <w:rPr>
                <w:rFonts w:ascii="宋体" w:hAnsi="宋体" w:cs="宋体"/>
                <w:kern w:val="2"/>
                <w:sz w:val="20"/>
              </w:rPr>
            </w:pPr>
            <w:r>
              <w:rPr>
                <w:rFonts w:ascii="宋体" w:hAnsi="宋体" w:cs="宋体"/>
                <w:kern w:val="2"/>
                <w:sz w:val="20"/>
              </w:rPr>
              <w:t>6.具备呼吸环和呼吸波形，可监测顺应性、气道阻力、时间常数等参数；</w:t>
            </w:r>
          </w:p>
          <w:p w14:paraId="29742744">
            <w:pPr>
              <w:pStyle w:val="2"/>
              <w:rPr>
                <w:rFonts w:ascii="宋体" w:hAnsi="宋体" w:cs="宋体"/>
                <w:kern w:val="2"/>
                <w:sz w:val="20"/>
              </w:rPr>
            </w:pPr>
            <w:r>
              <w:rPr>
                <w:rFonts w:ascii="宋体" w:hAnsi="宋体" w:cs="宋体"/>
                <w:kern w:val="2"/>
                <w:sz w:val="20"/>
              </w:rPr>
              <w:t>7.▲具备高流量氧疗模式；</w:t>
            </w:r>
          </w:p>
          <w:p w14:paraId="1DB52084">
            <w:pPr>
              <w:pStyle w:val="2"/>
              <w:rPr>
                <w:rFonts w:ascii="宋体" w:hAnsi="宋体" w:cs="宋体"/>
                <w:kern w:val="2"/>
                <w:sz w:val="20"/>
              </w:rPr>
            </w:pPr>
            <w:r>
              <w:rPr>
                <w:rFonts w:ascii="宋体" w:hAnsi="宋体" w:cs="宋体"/>
                <w:kern w:val="2"/>
                <w:sz w:val="20"/>
              </w:rPr>
              <w:t>8.吸气阀和呼气阀均可快速拆下高温高压消毒；</w:t>
            </w:r>
          </w:p>
          <w:p w14:paraId="11F2F065">
            <w:pPr>
              <w:pStyle w:val="2"/>
              <w:rPr>
                <w:rFonts w:ascii="宋体" w:hAnsi="宋体" w:cs="宋体"/>
                <w:kern w:val="2"/>
                <w:sz w:val="20"/>
              </w:rPr>
            </w:pPr>
            <w:r>
              <w:rPr>
                <w:rFonts w:ascii="宋体" w:hAnsi="宋体" w:cs="宋体"/>
                <w:kern w:val="2"/>
                <w:sz w:val="20"/>
              </w:rPr>
              <w:t>9.采用近端流量监测，触发灵敏；</w:t>
            </w:r>
          </w:p>
          <w:p w14:paraId="09330E92">
            <w:pPr>
              <w:pStyle w:val="2"/>
              <w:rPr>
                <w:rFonts w:ascii="宋体" w:hAnsi="宋体" w:cs="宋体"/>
                <w:kern w:val="2"/>
                <w:sz w:val="20"/>
              </w:rPr>
            </w:pPr>
            <w:r>
              <w:rPr>
                <w:rFonts w:ascii="宋体" w:hAnsi="宋体" w:cs="宋体"/>
                <w:kern w:val="2"/>
                <w:sz w:val="20"/>
              </w:rPr>
              <w:t>10.▲具有顺磁氧法测定氧浓度，无传统氧电池的成本消耗；</w:t>
            </w:r>
          </w:p>
          <w:p w14:paraId="43FE1AE4">
            <w:pPr>
              <w:pStyle w:val="2"/>
              <w:rPr>
                <w:rFonts w:ascii="宋体" w:hAnsi="宋体" w:cs="宋体"/>
                <w:kern w:val="2"/>
                <w:sz w:val="20"/>
              </w:rPr>
            </w:pPr>
            <w:r>
              <w:rPr>
                <w:rFonts w:ascii="宋体" w:hAnsi="宋体" w:cs="宋体"/>
                <w:kern w:val="2"/>
                <w:sz w:val="20"/>
              </w:rPr>
              <w:t>11.▲呼吸模式：至少配备NIV、MMV、HFO、PC-CMV、PC-SIMV、PC-A/C、PC-PSV、SPN-CPAP、一体化O2-Therapy（氧疗）、Apnoea等常频/高频通气；</w:t>
            </w:r>
          </w:p>
          <w:p w14:paraId="1FD17B01">
            <w:pPr>
              <w:pStyle w:val="2"/>
              <w:rPr>
                <w:rFonts w:ascii="宋体" w:hAnsi="宋体" w:cs="宋体"/>
                <w:kern w:val="2"/>
                <w:sz w:val="20"/>
              </w:rPr>
            </w:pPr>
            <w:r>
              <w:rPr>
                <w:rFonts w:ascii="宋体" w:hAnsi="宋体" w:cs="宋体"/>
                <w:kern w:val="2"/>
                <w:sz w:val="20"/>
              </w:rPr>
              <w:t>12.▲具备智能吸痰、雾化、吸气保持功能；</w:t>
            </w:r>
          </w:p>
          <w:p w14:paraId="450F3ACC">
            <w:pPr>
              <w:pStyle w:val="2"/>
              <w:rPr>
                <w:rFonts w:ascii="宋体" w:hAnsi="宋体" w:cs="宋体"/>
                <w:kern w:val="2"/>
                <w:sz w:val="20"/>
              </w:rPr>
            </w:pPr>
            <w:r>
              <w:rPr>
                <w:rFonts w:ascii="宋体" w:hAnsi="宋体" w:cs="宋体"/>
                <w:kern w:val="2"/>
                <w:sz w:val="20"/>
              </w:rPr>
              <w:t>13.具备自动泄露补偿、窒息报警自动恢复通气等功能；</w:t>
            </w:r>
          </w:p>
          <w:p w14:paraId="25ADB3A2">
            <w:pPr>
              <w:pStyle w:val="2"/>
              <w:rPr>
                <w:rFonts w:ascii="宋体" w:hAnsi="宋体" w:cs="宋体"/>
                <w:kern w:val="2"/>
                <w:sz w:val="20"/>
              </w:rPr>
            </w:pPr>
            <w:r>
              <w:rPr>
                <w:rFonts w:ascii="宋体" w:hAnsi="宋体" w:cs="宋体"/>
                <w:kern w:val="2"/>
                <w:sz w:val="20"/>
              </w:rPr>
              <w:t>14.具备叹息功能，间歇性肺复张，周期可调；</w:t>
            </w:r>
          </w:p>
          <w:p w14:paraId="557F2F81">
            <w:pPr>
              <w:pStyle w:val="2"/>
              <w:rPr>
                <w:rFonts w:ascii="宋体" w:hAnsi="宋体" w:cs="宋体"/>
                <w:kern w:val="2"/>
                <w:sz w:val="20"/>
              </w:rPr>
            </w:pPr>
            <w:r>
              <w:rPr>
                <w:rFonts w:ascii="宋体" w:hAnsi="宋体" w:cs="宋体"/>
                <w:kern w:val="2"/>
                <w:sz w:val="20"/>
              </w:rPr>
              <w:t>15.具有后备通气模式，可以在窒息时提供通气；</w:t>
            </w:r>
          </w:p>
          <w:p w14:paraId="03C6E465">
            <w:pPr>
              <w:pStyle w:val="2"/>
              <w:rPr>
                <w:rFonts w:ascii="宋体" w:hAnsi="宋体" w:cs="宋体"/>
                <w:kern w:val="2"/>
                <w:sz w:val="20"/>
              </w:rPr>
            </w:pPr>
            <w:r>
              <w:rPr>
                <w:rFonts w:ascii="宋体" w:hAnsi="宋体" w:cs="宋体"/>
                <w:kern w:val="2"/>
                <w:sz w:val="20"/>
              </w:rPr>
              <w:t>16.高频功能：平均气道压力至少包括5-50mbar、高频震荡频率至少包括5-20Hz、压力幅度至少包括1-90mbar、I:E呼吸比至少在1：1-1：3范围内可调；</w:t>
            </w:r>
          </w:p>
          <w:p w14:paraId="5D50CBDD">
            <w:pPr>
              <w:pStyle w:val="2"/>
              <w:rPr>
                <w:rFonts w:ascii="宋体" w:hAnsi="宋体" w:cs="宋体"/>
                <w:kern w:val="2"/>
                <w:sz w:val="20"/>
              </w:rPr>
            </w:pPr>
            <w:r>
              <w:rPr>
                <w:rFonts w:ascii="宋体" w:hAnsi="宋体" w:cs="宋体"/>
                <w:kern w:val="2"/>
                <w:sz w:val="20"/>
              </w:rPr>
              <w:t>17.药剂雾化时间可调：至少包括5-30min，调节步进≤5min；</w:t>
            </w:r>
          </w:p>
          <w:p w14:paraId="7CDF2282">
            <w:pPr>
              <w:pStyle w:val="2"/>
              <w:rPr>
                <w:rFonts w:ascii="宋体" w:hAnsi="宋体" w:cs="宋体"/>
                <w:kern w:val="2"/>
                <w:sz w:val="20"/>
              </w:rPr>
            </w:pPr>
            <w:r>
              <w:rPr>
                <w:rFonts w:ascii="宋体" w:hAnsi="宋体" w:cs="宋体"/>
                <w:kern w:val="2"/>
                <w:sz w:val="20"/>
              </w:rPr>
              <w:t>18.通气频率可调：至少包括0.5-150次/分；</w:t>
            </w:r>
          </w:p>
          <w:p w14:paraId="4DD94F2E">
            <w:pPr>
              <w:pStyle w:val="2"/>
              <w:rPr>
                <w:rFonts w:ascii="宋体" w:hAnsi="宋体" w:cs="宋体"/>
                <w:kern w:val="2"/>
                <w:sz w:val="20"/>
              </w:rPr>
            </w:pPr>
            <w:r>
              <w:rPr>
                <w:rFonts w:ascii="宋体" w:hAnsi="宋体" w:cs="宋体"/>
                <w:kern w:val="2"/>
                <w:sz w:val="20"/>
              </w:rPr>
              <w:t>19.吸气时间可调：至少包括0.1-3秒；</w:t>
            </w:r>
          </w:p>
          <w:p w14:paraId="7BF822C6">
            <w:pPr>
              <w:pStyle w:val="2"/>
              <w:rPr>
                <w:rFonts w:ascii="宋体" w:hAnsi="宋体" w:cs="宋体"/>
                <w:kern w:val="2"/>
                <w:sz w:val="20"/>
              </w:rPr>
            </w:pPr>
            <w:r>
              <w:rPr>
                <w:rFonts w:ascii="宋体" w:hAnsi="宋体" w:cs="宋体"/>
                <w:kern w:val="2"/>
                <w:sz w:val="20"/>
              </w:rPr>
              <w:t>20.潮气量可调：至少包括2-150mL；</w:t>
            </w:r>
          </w:p>
          <w:p w14:paraId="2EBA1CE8">
            <w:pPr>
              <w:pStyle w:val="2"/>
              <w:rPr>
                <w:rFonts w:ascii="宋体" w:hAnsi="宋体" w:cs="宋体"/>
                <w:kern w:val="2"/>
                <w:sz w:val="20"/>
              </w:rPr>
            </w:pPr>
            <w:r>
              <w:rPr>
                <w:rFonts w:ascii="宋体" w:hAnsi="宋体" w:cs="宋体"/>
                <w:kern w:val="2"/>
                <w:sz w:val="20"/>
              </w:rPr>
              <w:t>21.吸气流速可调：至少包括2-30L/min；</w:t>
            </w:r>
          </w:p>
          <w:p w14:paraId="1FDCA1C1">
            <w:pPr>
              <w:pStyle w:val="2"/>
              <w:rPr>
                <w:rFonts w:ascii="宋体" w:hAnsi="宋体" w:cs="宋体"/>
                <w:kern w:val="2"/>
                <w:sz w:val="20"/>
              </w:rPr>
            </w:pPr>
            <w:r>
              <w:rPr>
                <w:rFonts w:ascii="宋体" w:hAnsi="宋体" w:cs="宋体"/>
                <w:kern w:val="2"/>
                <w:sz w:val="20"/>
              </w:rPr>
              <w:t>22.吸气压力可调：至少包括1-80mbar；</w:t>
            </w:r>
          </w:p>
          <w:p w14:paraId="442C8BCA">
            <w:pPr>
              <w:pStyle w:val="2"/>
              <w:rPr>
                <w:rFonts w:ascii="宋体" w:hAnsi="宋体" w:cs="宋体"/>
                <w:kern w:val="2"/>
                <w:sz w:val="20"/>
              </w:rPr>
            </w:pPr>
            <w:r>
              <w:rPr>
                <w:rFonts w:ascii="宋体" w:hAnsi="宋体" w:cs="宋体"/>
                <w:kern w:val="2"/>
                <w:sz w:val="20"/>
              </w:rPr>
              <w:t>23.压力支持可调：至少包括0-80mbar；</w:t>
            </w:r>
          </w:p>
          <w:p w14:paraId="60D3946F">
            <w:pPr>
              <w:pStyle w:val="2"/>
              <w:rPr>
                <w:rFonts w:ascii="宋体" w:hAnsi="宋体" w:cs="宋体"/>
                <w:kern w:val="2"/>
                <w:sz w:val="20"/>
              </w:rPr>
            </w:pPr>
            <w:r>
              <w:rPr>
                <w:rFonts w:ascii="宋体" w:hAnsi="宋体" w:cs="宋体"/>
                <w:kern w:val="2"/>
                <w:sz w:val="20"/>
              </w:rPr>
              <w:t>24.PEEP可调：至少包括0-35mbar；</w:t>
            </w:r>
          </w:p>
          <w:p w14:paraId="1B0B8F81">
            <w:pPr>
              <w:pStyle w:val="2"/>
              <w:rPr>
                <w:rFonts w:ascii="宋体" w:hAnsi="宋体" w:cs="宋体"/>
                <w:kern w:val="2"/>
                <w:sz w:val="20"/>
              </w:rPr>
            </w:pPr>
            <w:r>
              <w:rPr>
                <w:rFonts w:ascii="宋体" w:hAnsi="宋体" w:cs="宋体"/>
                <w:kern w:val="2"/>
                <w:sz w:val="20"/>
              </w:rPr>
              <w:t>25.氧浓度精确可调：至少包括21-100 Vol％；</w:t>
            </w:r>
          </w:p>
          <w:p w14:paraId="1C79C3A0">
            <w:pPr>
              <w:pStyle w:val="2"/>
              <w:rPr>
                <w:rFonts w:ascii="宋体" w:hAnsi="宋体" w:cs="宋体"/>
                <w:kern w:val="2"/>
                <w:sz w:val="20"/>
              </w:rPr>
            </w:pPr>
            <w:r>
              <w:rPr>
                <w:rFonts w:ascii="宋体" w:hAnsi="宋体" w:cs="宋体"/>
                <w:kern w:val="2"/>
                <w:sz w:val="20"/>
              </w:rPr>
              <w:t>26.流速触发可调：至少包括0.2-5L/分；</w:t>
            </w:r>
          </w:p>
          <w:p w14:paraId="655D229D">
            <w:pPr>
              <w:pStyle w:val="2"/>
              <w:rPr>
                <w:rFonts w:ascii="宋体" w:hAnsi="宋体" w:cs="宋体"/>
                <w:kern w:val="2"/>
                <w:sz w:val="20"/>
              </w:rPr>
            </w:pPr>
            <w:r>
              <w:rPr>
                <w:rFonts w:ascii="宋体" w:hAnsi="宋体" w:cs="宋体"/>
                <w:kern w:val="2"/>
                <w:sz w:val="20"/>
              </w:rPr>
              <w:t>27.气道压力监测：至少包括气道峰压，平台压，气道平均压，PEEP，气道最小压等；</w:t>
            </w:r>
          </w:p>
          <w:p w14:paraId="1C80399F">
            <w:pPr>
              <w:pStyle w:val="2"/>
              <w:rPr>
                <w:rFonts w:ascii="宋体" w:hAnsi="宋体" w:cs="宋体"/>
                <w:kern w:val="2"/>
                <w:sz w:val="20"/>
              </w:rPr>
            </w:pPr>
            <w:r>
              <w:rPr>
                <w:rFonts w:ascii="宋体" w:hAnsi="宋体" w:cs="宋体"/>
                <w:kern w:val="2"/>
                <w:sz w:val="20"/>
              </w:rPr>
              <w:t>28.流量监测：至少包括分钟通气量MV，机控分钟通气量MVmand，自主分钟通气量MVspon，泄漏分钟通气量Mvleak；</w:t>
            </w:r>
          </w:p>
          <w:p w14:paraId="05886826">
            <w:pPr>
              <w:pStyle w:val="2"/>
              <w:rPr>
                <w:rFonts w:ascii="宋体" w:hAnsi="宋体" w:cs="宋体"/>
                <w:kern w:val="2"/>
                <w:sz w:val="20"/>
              </w:rPr>
            </w:pPr>
            <w:r>
              <w:rPr>
                <w:rFonts w:ascii="宋体" w:hAnsi="宋体" w:cs="宋体"/>
                <w:kern w:val="2"/>
                <w:sz w:val="20"/>
              </w:rPr>
              <w:t>29.潮气量监测：至少包括吸入潮气量，呼出潮气量，自主呼吸吸入潮气量Vtispon；</w:t>
            </w:r>
          </w:p>
          <w:p w14:paraId="7769FA56">
            <w:pPr>
              <w:pStyle w:val="2"/>
              <w:rPr>
                <w:rFonts w:ascii="宋体" w:hAnsi="宋体" w:cs="宋体"/>
                <w:kern w:val="2"/>
                <w:sz w:val="20"/>
              </w:rPr>
            </w:pPr>
            <w:r>
              <w:rPr>
                <w:rFonts w:ascii="宋体" w:hAnsi="宋体" w:cs="宋体"/>
                <w:kern w:val="2"/>
                <w:sz w:val="20"/>
              </w:rPr>
              <w:t>30.呼吸频率监测：至少包括总呼吸频率，指令呼吸频率，自主呼吸频率；</w:t>
            </w:r>
          </w:p>
          <w:p w14:paraId="02ED1D3B">
            <w:pPr>
              <w:pStyle w:val="2"/>
              <w:rPr>
                <w:rFonts w:ascii="宋体" w:hAnsi="宋体" w:cs="宋体"/>
                <w:kern w:val="2"/>
                <w:sz w:val="20"/>
              </w:rPr>
            </w:pPr>
            <w:r>
              <w:rPr>
                <w:rFonts w:ascii="宋体" w:hAnsi="宋体" w:cs="宋体"/>
                <w:kern w:val="2"/>
                <w:sz w:val="20"/>
              </w:rPr>
              <w:t>31.吸入氧气浓度监测：至少包括18-100Vol%；</w:t>
            </w:r>
          </w:p>
          <w:p w14:paraId="26C829ED">
            <w:pPr>
              <w:pStyle w:val="2"/>
              <w:rPr>
                <w:rFonts w:ascii="宋体" w:hAnsi="宋体" w:cs="宋体"/>
                <w:kern w:val="2"/>
                <w:sz w:val="20"/>
              </w:rPr>
            </w:pPr>
            <w:r>
              <w:rPr>
                <w:rFonts w:ascii="宋体" w:hAnsi="宋体" w:cs="宋体"/>
                <w:kern w:val="2"/>
                <w:sz w:val="20"/>
              </w:rPr>
              <w:t>32.可以区分监测自主呼吸频率和总频率，自主呼吸分钟通气量和总分钟通气量；</w:t>
            </w:r>
          </w:p>
          <w:p w14:paraId="6F3485CB">
            <w:pPr>
              <w:pStyle w:val="2"/>
              <w:rPr>
                <w:rFonts w:ascii="宋体" w:hAnsi="宋体" w:cs="宋体"/>
                <w:kern w:val="2"/>
                <w:sz w:val="20"/>
              </w:rPr>
            </w:pPr>
            <w:r>
              <w:rPr>
                <w:rFonts w:ascii="宋体" w:hAnsi="宋体" w:cs="宋体"/>
                <w:kern w:val="2"/>
                <w:sz w:val="20"/>
              </w:rPr>
              <w:t>33.至少3个呼吸环和3道波形;环和波形可以冻结并有测量值显示，波形以填充方式显示，易于辨认，提供P-V，F-V，P-F环以及隆突压Ptrach-V和Ptrach-F环；</w:t>
            </w:r>
          </w:p>
          <w:p w14:paraId="07B10FE8">
            <w:pPr>
              <w:pStyle w:val="2"/>
              <w:rPr>
                <w:rFonts w:ascii="宋体" w:hAnsi="宋体" w:cs="宋体"/>
                <w:kern w:val="2"/>
                <w:sz w:val="20"/>
              </w:rPr>
            </w:pPr>
            <w:r>
              <w:rPr>
                <w:rFonts w:ascii="宋体" w:hAnsi="宋体" w:cs="宋体"/>
                <w:kern w:val="2"/>
                <w:sz w:val="20"/>
              </w:rPr>
              <w:t>34.提供趋势回顾，至少包括图形趋势和表格趋势，可提供≥7天趋势记录；</w:t>
            </w:r>
          </w:p>
          <w:p w14:paraId="432CB77B">
            <w:pPr>
              <w:pStyle w:val="2"/>
              <w:rPr>
                <w:rFonts w:ascii="宋体" w:hAnsi="宋体" w:cs="宋体"/>
                <w:kern w:val="2"/>
                <w:sz w:val="20"/>
              </w:rPr>
            </w:pPr>
            <w:r>
              <w:rPr>
                <w:rFonts w:ascii="宋体" w:hAnsi="宋体" w:cs="宋体"/>
                <w:kern w:val="2"/>
                <w:sz w:val="20"/>
              </w:rPr>
              <w:t>35.报警参数至少包括：气道压力上下限，分钟通气量上下限、吸入氧浓度上下限、窒息报警时间（窒息时间设定至少包括5－60s）、呼吸频率过快报警、蓄电池报警等；</w:t>
            </w:r>
          </w:p>
          <w:p w14:paraId="502D37DD">
            <w:pPr>
              <w:pStyle w:val="2"/>
              <w:rPr>
                <w:rFonts w:ascii="宋体" w:hAnsi="宋体" w:cs="宋体"/>
                <w:kern w:val="2"/>
                <w:sz w:val="20"/>
              </w:rPr>
            </w:pPr>
            <w:r>
              <w:rPr>
                <w:rFonts w:ascii="宋体" w:hAnsi="宋体" w:cs="宋体"/>
                <w:kern w:val="2"/>
                <w:sz w:val="20"/>
              </w:rPr>
              <w:t>36.具有报警灯，智能三级声光报警系统，报警音量日间和夜间可分别设置，报警除了提示报警项目，报警原因；</w:t>
            </w:r>
          </w:p>
          <w:p w14:paraId="36AD3DC6">
            <w:pPr>
              <w:pStyle w:val="2"/>
              <w:rPr>
                <w:rFonts w:ascii="宋体" w:hAnsi="宋体" w:cs="宋体"/>
                <w:kern w:val="2"/>
                <w:sz w:val="20"/>
              </w:rPr>
            </w:pPr>
            <w:r>
              <w:rPr>
                <w:rFonts w:ascii="宋体" w:hAnsi="宋体" w:cs="宋体"/>
                <w:kern w:val="2"/>
                <w:sz w:val="20"/>
              </w:rPr>
              <w:t>37.具备人机对话报警方式，除报警提示外，可告知使用者报警产生的原因及处置流程；</w:t>
            </w:r>
          </w:p>
          <w:p w14:paraId="2BD7769C">
            <w:pPr>
              <w:pStyle w:val="2"/>
              <w:rPr>
                <w:rFonts w:ascii="宋体" w:hAnsi="宋体" w:cs="宋体"/>
                <w:kern w:val="2"/>
                <w:sz w:val="20"/>
              </w:rPr>
            </w:pPr>
            <w:r>
              <w:rPr>
                <w:rFonts w:ascii="宋体" w:hAnsi="宋体" w:cs="宋体"/>
                <w:kern w:val="2"/>
                <w:sz w:val="20"/>
              </w:rPr>
              <w:t>38.▲数据存储要求：可通过USB接口存储数据，支持屏幕投影，方便科研教学；</w:t>
            </w:r>
          </w:p>
          <w:p w14:paraId="78B99994">
            <w:pPr>
              <w:pStyle w:val="2"/>
              <w:rPr>
                <w:rFonts w:ascii="宋体" w:hAnsi="宋体" w:cs="宋体"/>
                <w:kern w:val="2"/>
                <w:sz w:val="20"/>
              </w:rPr>
            </w:pPr>
            <w:r>
              <w:rPr>
                <w:rFonts w:ascii="宋体" w:hAnsi="宋体" w:cs="宋体"/>
                <w:kern w:val="2"/>
                <w:sz w:val="20"/>
              </w:rPr>
              <w:t>39.彩色触摸屏≥17寸，屏幕和主机可分离，屏幕可以灵活固定，操作界面可个性化配置；</w:t>
            </w:r>
          </w:p>
          <w:p w14:paraId="616FED2E">
            <w:pPr>
              <w:pStyle w:val="2"/>
              <w:rPr>
                <w:rFonts w:ascii="宋体" w:hAnsi="宋体" w:cs="宋体"/>
                <w:kern w:val="2"/>
                <w:sz w:val="20"/>
              </w:rPr>
            </w:pPr>
            <w:r>
              <w:rPr>
                <w:rFonts w:ascii="宋体" w:hAnsi="宋体" w:cs="宋体"/>
                <w:kern w:val="2"/>
                <w:sz w:val="20"/>
              </w:rPr>
              <w:t>40.具备中文操作界面，报警信息以中文显示，内置操作手册，智能检索等功能。</w:t>
            </w:r>
          </w:p>
          <w:p w14:paraId="69D1CF26">
            <w:pPr>
              <w:pStyle w:val="2"/>
              <w:rPr>
                <w:rFonts w:ascii="宋体" w:hAnsi="宋体" w:cs="宋体"/>
                <w:kern w:val="2"/>
                <w:sz w:val="20"/>
              </w:rPr>
            </w:pPr>
            <w:r>
              <w:rPr>
                <w:rFonts w:ascii="宋体" w:hAnsi="宋体" w:cs="宋体"/>
                <w:kern w:val="2"/>
                <w:sz w:val="20"/>
              </w:rPr>
              <w:t>41.内置电池，断电后可操作：≥30min；</w:t>
            </w:r>
          </w:p>
          <w:p w14:paraId="0E6F1B28">
            <w:pPr>
              <w:rPr>
                <w:rFonts w:ascii="宋体" w:hAnsi="宋体" w:cs="宋体"/>
                <w:sz w:val="20"/>
                <w:szCs w:val="20"/>
              </w:rPr>
            </w:pPr>
            <w:r>
              <w:rPr>
                <w:rFonts w:hint="eastAsia" w:ascii="宋体" w:hAnsi="宋体" w:cs="宋体"/>
                <w:sz w:val="20"/>
                <w:szCs w:val="20"/>
              </w:rPr>
              <w:t>42.▲配置需求:（单台/套配置）</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6"/>
              <w:gridCol w:w="4723"/>
              <w:gridCol w:w="645"/>
              <w:gridCol w:w="932"/>
              <w:gridCol w:w="932"/>
            </w:tblGrid>
            <w:tr w14:paraId="2ED0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3DA4F9D5">
                  <w:pPr>
                    <w:widowControl/>
                    <w:jc w:val="center"/>
                    <w:textAlignment w:val="top"/>
                    <w:rPr>
                      <w:rFonts w:ascii="宋体" w:hAnsi="宋体" w:cs="宋体"/>
                      <w:sz w:val="20"/>
                      <w:szCs w:val="20"/>
                    </w:rPr>
                  </w:pPr>
                  <w:r>
                    <w:rPr>
                      <w:rFonts w:hint="eastAsia" w:ascii="宋体" w:hAnsi="宋体" w:cs="宋体"/>
                      <w:sz w:val="20"/>
                      <w:szCs w:val="20"/>
                    </w:rPr>
                    <w:t>序号</w:t>
                  </w:r>
                </w:p>
              </w:tc>
              <w:tc>
                <w:tcPr>
                  <w:tcW w:w="2944" w:type="pct"/>
                  <w:shd w:val="clear" w:color="auto" w:fill="auto"/>
                  <w:tcMar>
                    <w:top w:w="15" w:type="dxa"/>
                    <w:left w:w="15" w:type="dxa"/>
                    <w:right w:w="15" w:type="dxa"/>
                  </w:tcMar>
                  <w:vAlign w:val="center"/>
                </w:tcPr>
                <w:p w14:paraId="5BAC3A7E">
                  <w:pPr>
                    <w:widowControl/>
                    <w:jc w:val="center"/>
                    <w:textAlignment w:val="top"/>
                    <w:rPr>
                      <w:rFonts w:ascii="宋体" w:hAnsi="宋体" w:cs="宋体"/>
                      <w:sz w:val="20"/>
                      <w:szCs w:val="20"/>
                    </w:rPr>
                  </w:pPr>
                  <w:r>
                    <w:rPr>
                      <w:rFonts w:hint="eastAsia" w:ascii="宋体" w:hAnsi="宋体" w:cs="宋体"/>
                      <w:sz w:val="20"/>
                      <w:szCs w:val="20"/>
                    </w:rPr>
                    <w:t>名称</w:t>
                  </w:r>
                </w:p>
              </w:tc>
              <w:tc>
                <w:tcPr>
                  <w:tcW w:w="402" w:type="pct"/>
                  <w:shd w:val="clear" w:color="auto" w:fill="auto"/>
                  <w:tcMar>
                    <w:top w:w="15" w:type="dxa"/>
                    <w:left w:w="15" w:type="dxa"/>
                    <w:right w:w="15" w:type="dxa"/>
                  </w:tcMar>
                  <w:vAlign w:val="center"/>
                </w:tcPr>
                <w:p w14:paraId="1A661A8B">
                  <w:pPr>
                    <w:widowControl/>
                    <w:jc w:val="center"/>
                    <w:textAlignment w:val="top"/>
                    <w:rPr>
                      <w:rFonts w:ascii="宋体" w:hAnsi="宋体" w:cs="宋体"/>
                      <w:sz w:val="20"/>
                      <w:szCs w:val="20"/>
                    </w:rPr>
                  </w:pPr>
                  <w:r>
                    <w:rPr>
                      <w:rFonts w:hint="eastAsia" w:ascii="宋体" w:hAnsi="宋体" w:cs="宋体"/>
                      <w:sz w:val="20"/>
                      <w:szCs w:val="20"/>
                    </w:rPr>
                    <w:t>单位</w:t>
                  </w:r>
                </w:p>
              </w:tc>
              <w:tc>
                <w:tcPr>
                  <w:tcW w:w="581" w:type="pct"/>
                  <w:shd w:val="clear" w:color="auto" w:fill="auto"/>
                  <w:tcMar>
                    <w:top w:w="15" w:type="dxa"/>
                    <w:left w:w="15" w:type="dxa"/>
                    <w:right w:w="15" w:type="dxa"/>
                  </w:tcMar>
                  <w:vAlign w:val="center"/>
                </w:tcPr>
                <w:p w14:paraId="1E730A6C">
                  <w:pPr>
                    <w:widowControl/>
                    <w:jc w:val="center"/>
                    <w:textAlignment w:val="top"/>
                    <w:rPr>
                      <w:rFonts w:ascii="宋体" w:hAnsi="宋体" w:cs="宋体"/>
                      <w:sz w:val="20"/>
                      <w:szCs w:val="20"/>
                    </w:rPr>
                  </w:pPr>
                  <w:r>
                    <w:rPr>
                      <w:rFonts w:hint="eastAsia" w:ascii="宋体" w:hAnsi="宋体" w:cs="宋体"/>
                      <w:sz w:val="20"/>
                      <w:szCs w:val="20"/>
                    </w:rPr>
                    <w:t>数量</w:t>
                  </w:r>
                </w:p>
              </w:tc>
              <w:tc>
                <w:tcPr>
                  <w:tcW w:w="581" w:type="pct"/>
                  <w:shd w:val="clear" w:color="auto" w:fill="auto"/>
                  <w:tcMar>
                    <w:top w:w="15" w:type="dxa"/>
                    <w:left w:w="15" w:type="dxa"/>
                    <w:right w:w="15" w:type="dxa"/>
                  </w:tcMar>
                  <w:vAlign w:val="center"/>
                </w:tcPr>
                <w:p w14:paraId="682A994C">
                  <w:pPr>
                    <w:widowControl/>
                    <w:jc w:val="center"/>
                    <w:textAlignment w:val="top"/>
                    <w:rPr>
                      <w:rFonts w:ascii="宋体" w:hAnsi="宋体" w:cs="宋体"/>
                      <w:sz w:val="20"/>
                      <w:szCs w:val="20"/>
                    </w:rPr>
                  </w:pPr>
                  <w:r>
                    <w:rPr>
                      <w:rFonts w:hint="eastAsia" w:ascii="宋体" w:hAnsi="宋体" w:cs="宋体"/>
                      <w:sz w:val="20"/>
                      <w:szCs w:val="20"/>
                    </w:rPr>
                    <w:t>备注</w:t>
                  </w:r>
                </w:p>
              </w:tc>
            </w:tr>
            <w:tr w14:paraId="345A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08A47987">
                  <w:pPr>
                    <w:widowControl/>
                    <w:jc w:val="center"/>
                    <w:textAlignment w:val="top"/>
                    <w:rPr>
                      <w:rFonts w:ascii="宋体" w:hAnsi="宋体" w:cs="宋体"/>
                      <w:sz w:val="20"/>
                      <w:szCs w:val="20"/>
                    </w:rPr>
                  </w:pPr>
                  <w:r>
                    <w:rPr>
                      <w:rFonts w:hint="eastAsia" w:ascii="宋体" w:hAnsi="宋体" w:cs="宋体"/>
                      <w:sz w:val="20"/>
                      <w:szCs w:val="20"/>
                    </w:rPr>
                    <w:t>1</w:t>
                  </w:r>
                </w:p>
              </w:tc>
              <w:tc>
                <w:tcPr>
                  <w:tcW w:w="2944" w:type="pct"/>
                  <w:shd w:val="clear" w:color="auto" w:fill="auto"/>
                  <w:tcMar>
                    <w:top w:w="15" w:type="dxa"/>
                    <w:left w:w="15" w:type="dxa"/>
                    <w:right w:w="15" w:type="dxa"/>
                  </w:tcMar>
                  <w:vAlign w:val="center"/>
                </w:tcPr>
                <w:p w14:paraId="1957B8C7">
                  <w:pPr>
                    <w:widowControl/>
                    <w:jc w:val="center"/>
                    <w:textAlignment w:val="top"/>
                    <w:rPr>
                      <w:rFonts w:ascii="宋体" w:hAnsi="宋体" w:cs="宋体"/>
                      <w:sz w:val="20"/>
                      <w:szCs w:val="20"/>
                    </w:rPr>
                  </w:pPr>
                  <w:r>
                    <w:rPr>
                      <w:rFonts w:hint="eastAsia" w:ascii="宋体" w:hAnsi="宋体" w:cs="宋体"/>
                      <w:sz w:val="20"/>
                      <w:szCs w:val="20"/>
                    </w:rPr>
                    <w:t>主机及触摸显示屏</w:t>
                  </w:r>
                </w:p>
              </w:tc>
              <w:tc>
                <w:tcPr>
                  <w:tcW w:w="402" w:type="pct"/>
                  <w:shd w:val="clear" w:color="auto" w:fill="auto"/>
                  <w:tcMar>
                    <w:top w:w="15" w:type="dxa"/>
                    <w:left w:w="15" w:type="dxa"/>
                    <w:right w:w="15" w:type="dxa"/>
                  </w:tcMar>
                  <w:vAlign w:val="center"/>
                </w:tcPr>
                <w:p w14:paraId="753507C4">
                  <w:pPr>
                    <w:widowControl/>
                    <w:jc w:val="center"/>
                    <w:textAlignment w:val="top"/>
                    <w:rPr>
                      <w:rFonts w:ascii="宋体" w:hAnsi="宋体" w:cs="宋体"/>
                      <w:sz w:val="20"/>
                      <w:szCs w:val="20"/>
                    </w:rPr>
                  </w:pPr>
                  <w:r>
                    <w:rPr>
                      <w:rFonts w:hint="eastAsia" w:ascii="宋体" w:hAnsi="宋体" w:cs="宋体"/>
                      <w:sz w:val="20"/>
                      <w:szCs w:val="20"/>
                    </w:rPr>
                    <w:t>套</w:t>
                  </w:r>
                </w:p>
              </w:tc>
              <w:tc>
                <w:tcPr>
                  <w:tcW w:w="581" w:type="pct"/>
                  <w:shd w:val="clear" w:color="auto" w:fill="auto"/>
                  <w:tcMar>
                    <w:top w:w="15" w:type="dxa"/>
                    <w:left w:w="15" w:type="dxa"/>
                    <w:right w:w="15" w:type="dxa"/>
                  </w:tcMar>
                  <w:vAlign w:val="center"/>
                </w:tcPr>
                <w:p w14:paraId="540FA30A">
                  <w:pPr>
                    <w:widowControl/>
                    <w:jc w:val="center"/>
                    <w:textAlignment w:val="top"/>
                    <w:rPr>
                      <w:rFonts w:ascii="宋体" w:hAnsi="宋体" w:cs="宋体"/>
                      <w:sz w:val="20"/>
                      <w:szCs w:val="20"/>
                    </w:rPr>
                  </w:pPr>
                  <w:r>
                    <w:rPr>
                      <w:rFonts w:hint="eastAsia" w:ascii="宋体" w:hAnsi="宋体" w:cs="宋体"/>
                      <w:sz w:val="20"/>
                      <w:szCs w:val="20"/>
                    </w:rPr>
                    <w:t>1</w:t>
                  </w:r>
                </w:p>
              </w:tc>
              <w:tc>
                <w:tcPr>
                  <w:tcW w:w="581" w:type="pct"/>
                  <w:shd w:val="clear" w:color="auto" w:fill="auto"/>
                  <w:tcMar>
                    <w:top w:w="15" w:type="dxa"/>
                    <w:left w:w="15" w:type="dxa"/>
                    <w:right w:w="15" w:type="dxa"/>
                  </w:tcMar>
                  <w:vAlign w:val="center"/>
                </w:tcPr>
                <w:p w14:paraId="1B5A40BF">
                  <w:pPr>
                    <w:widowControl/>
                    <w:jc w:val="center"/>
                    <w:textAlignment w:val="top"/>
                    <w:rPr>
                      <w:rFonts w:ascii="宋体" w:hAnsi="宋体" w:cs="宋体"/>
                      <w:sz w:val="20"/>
                      <w:szCs w:val="20"/>
                    </w:rPr>
                  </w:pPr>
                </w:p>
              </w:tc>
            </w:tr>
            <w:tr w14:paraId="729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27E74E40">
                  <w:pPr>
                    <w:widowControl/>
                    <w:jc w:val="center"/>
                    <w:textAlignment w:val="top"/>
                    <w:rPr>
                      <w:rFonts w:ascii="宋体" w:hAnsi="宋体" w:cs="宋体"/>
                      <w:sz w:val="20"/>
                      <w:szCs w:val="20"/>
                    </w:rPr>
                  </w:pPr>
                  <w:r>
                    <w:rPr>
                      <w:rFonts w:hint="eastAsia" w:ascii="宋体" w:hAnsi="宋体" w:cs="宋体"/>
                      <w:sz w:val="20"/>
                      <w:szCs w:val="20"/>
                    </w:rPr>
                    <w:t>2</w:t>
                  </w:r>
                </w:p>
              </w:tc>
              <w:tc>
                <w:tcPr>
                  <w:tcW w:w="2944" w:type="pct"/>
                  <w:shd w:val="clear" w:color="auto" w:fill="auto"/>
                  <w:tcMar>
                    <w:top w:w="15" w:type="dxa"/>
                    <w:left w:w="15" w:type="dxa"/>
                    <w:right w:w="15" w:type="dxa"/>
                  </w:tcMar>
                  <w:vAlign w:val="center"/>
                </w:tcPr>
                <w:p w14:paraId="3FF60AE6">
                  <w:pPr>
                    <w:widowControl/>
                    <w:jc w:val="center"/>
                    <w:textAlignment w:val="top"/>
                    <w:rPr>
                      <w:rFonts w:ascii="宋体" w:hAnsi="宋体" w:cs="宋体"/>
                      <w:sz w:val="20"/>
                      <w:szCs w:val="20"/>
                    </w:rPr>
                  </w:pPr>
                  <w:r>
                    <w:rPr>
                      <w:rFonts w:hint="eastAsia" w:ascii="宋体" w:hAnsi="宋体" w:cs="宋体"/>
                      <w:sz w:val="20"/>
                      <w:szCs w:val="20"/>
                    </w:rPr>
                    <w:t>湿化器及相关附件</w:t>
                  </w:r>
                </w:p>
              </w:tc>
              <w:tc>
                <w:tcPr>
                  <w:tcW w:w="402" w:type="pct"/>
                  <w:shd w:val="clear" w:color="auto" w:fill="auto"/>
                  <w:tcMar>
                    <w:top w:w="15" w:type="dxa"/>
                    <w:left w:w="15" w:type="dxa"/>
                    <w:right w:w="15" w:type="dxa"/>
                  </w:tcMar>
                  <w:vAlign w:val="center"/>
                </w:tcPr>
                <w:p w14:paraId="6EBC6B93">
                  <w:pPr>
                    <w:widowControl/>
                    <w:jc w:val="center"/>
                    <w:textAlignment w:val="top"/>
                    <w:rPr>
                      <w:rFonts w:ascii="宋体" w:hAnsi="宋体" w:cs="宋体"/>
                      <w:sz w:val="20"/>
                      <w:szCs w:val="20"/>
                    </w:rPr>
                  </w:pPr>
                  <w:r>
                    <w:rPr>
                      <w:rFonts w:hint="eastAsia" w:ascii="宋体" w:hAnsi="宋体" w:cs="宋体"/>
                      <w:sz w:val="20"/>
                      <w:szCs w:val="20"/>
                    </w:rPr>
                    <w:t>套</w:t>
                  </w:r>
                </w:p>
              </w:tc>
              <w:tc>
                <w:tcPr>
                  <w:tcW w:w="581" w:type="pct"/>
                  <w:shd w:val="clear" w:color="auto" w:fill="auto"/>
                  <w:tcMar>
                    <w:top w:w="15" w:type="dxa"/>
                    <w:left w:w="15" w:type="dxa"/>
                    <w:right w:w="15" w:type="dxa"/>
                  </w:tcMar>
                  <w:vAlign w:val="center"/>
                </w:tcPr>
                <w:p w14:paraId="6D4B804E">
                  <w:pPr>
                    <w:widowControl/>
                    <w:jc w:val="center"/>
                    <w:textAlignment w:val="top"/>
                    <w:rPr>
                      <w:rFonts w:ascii="宋体" w:hAnsi="宋体" w:cs="宋体"/>
                      <w:sz w:val="20"/>
                      <w:szCs w:val="20"/>
                    </w:rPr>
                  </w:pPr>
                  <w:r>
                    <w:rPr>
                      <w:rFonts w:hint="eastAsia" w:ascii="宋体" w:hAnsi="宋体" w:cs="宋体"/>
                      <w:sz w:val="20"/>
                      <w:szCs w:val="20"/>
                    </w:rPr>
                    <w:t>1</w:t>
                  </w:r>
                </w:p>
              </w:tc>
              <w:tc>
                <w:tcPr>
                  <w:tcW w:w="581" w:type="pct"/>
                  <w:shd w:val="clear" w:color="auto" w:fill="auto"/>
                  <w:tcMar>
                    <w:top w:w="15" w:type="dxa"/>
                    <w:left w:w="15" w:type="dxa"/>
                    <w:right w:w="15" w:type="dxa"/>
                  </w:tcMar>
                  <w:vAlign w:val="center"/>
                </w:tcPr>
                <w:p w14:paraId="4B46E4F3">
                  <w:pPr>
                    <w:widowControl/>
                    <w:jc w:val="center"/>
                    <w:textAlignment w:val="top"/>
                    <w:rPr>
                      <w:rFonts w:ascii="宋体" w:hAnsi="宋体" w:cs="宋体"/>
                      <w:sz w:val="20"/>
                      <w:szCs w:val="20"/>
                    </w:rPr>
                  </w:pPr>
                </w:p>
              </w:tc>
            </w:tr>
            <w:tr w14:paraId="31B7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59F80E58">
                  <w:pPr>
                    <w:widowControl/>
                    <w:jc w:val="center"/>
                    <w:textAlignment w:val="top"/>
                    <w:rPr>
                      <w:rFonts w:ascii="宋体" w:hAnsi="宋体" w:cs="宋体"/>
                      <w:sz w:val="20"/>
                      <w:szCs w:val="20"/>
                    </w:rPr>
                  </w:pPr>
                  <w:r>
                    <w:rPr>
                      <w:rFonts w:hint="eastAsia" w:ascii="宋体" w:hAnsi="宋体" w:cs="宋体"/>
                      <w:sz w:val="20"/>
                      <w:szCs w:val="20"/>
                    </w:rPr>
                    <w:t>3</w:t>
                  </w:r>
                </w:p>
              </w:tc>
              <w:tc>
                <w:tcPr>
                  <w:tcW w:w="2944" w:type="pct"/>
                  <w:shd w:val="clear" w:color="auto" w:fill="auto"/>
                  <w:tcMar>
                    <w:top w:w="15" w:type="dxa"/>
                    <w:left w:w="15" w:type="dxa"/>
                    <w:right w:w="15" w:type="dxa"/>
                  </w:tcMar>
                  <w:vAlign w:val="center"/>
                </w:tcPr>
                <w:p w14:paraId="101DBF97">
                  <w:pPr>
                    <w:widowControl/>
                    <w:jc w:val="center"/>
                    <w:textAlignment w:val="top"/>
                    <w:rPr>
                      <w:rFonts w:ascii="宋体" w:hAnsi="宋体" w:cs="宋体"/>
                      <w:sz w:val="20"/>
                      <w:szCs w:val="20"/>
                    </w:rPr>
                  </w:pPr>
                  <w:r>
                    <w:rPr>
                      <w:rFonts w:hint="eastAsia" w:ascii="宋体" w:hAnsi="宋体" w:cs="宋体"/>
                      <w:sz w:val="20"/>
                      <w:szCs w:val="20"/>
                    </w:rPr>
                    <w:t>模拟肺（新生儿）</w:t>
                  </w:r>
                </w:p>
              </w:tc>
              <w:tc>
                <w:tcPr>
                  <w:tcW w:w="402" w:type="pct"/>
                  <w:shd w:val="clear" w:color="auto" w:fill="auto"/>
                  <w:tcMar>
                    <w:top w:w="15" w:type="dxa"/>
                    <w:left w:w="15" w:type="dxa"/>
                    <w:right w:w="15" w:type="dxa"/>
                  </w:tcMar>
                  <w:vAlign w:val="center"/>
                </w:tcPr>
                <w:p w14:paraId="136F1D82">
                  <w:pPr>
                    <w:widowControl/>
                    <w:jc w:val="center"/>
                    <w:textAlignment w:val="top"/>
                    <w:rPr>
                      <w:rFonts w:ascii="宋体" w:hAnsi="宋体" w:cs="宋体"/>
                      <w:sz w:val="20"/>
                      <w:szCs w:val="20"/>
                    </w:rPr>
                  </w:pPr>
                  <w:r>
                    <w:rPr>
                      <w:rFonts w:hint="eastAsia" w:ascii="宋体" w:hAnsi="宋体" w:cs="宋体"/>
                      <w:sz w:val="20"/>
                      <w:szCs w:val="20"/>
                    </w:rPr>
                    <w:t>个</w:t>
                  </w:r>
                </w:p>
              </w:tc>
              <w:tc>
                <w:tcPr>
                  <w:tcW w:w="581" w:type="pct"/>
                  <w:shd w:val="clear" w:color="auto" w:fill="auto"/>
                  <w:tcMar>
                    <w:top w:w="15" w:type="dxa"/>
                    <w:left w:w="15" w:type="dxa"/>
                    <w:right w:w="15" w:type="dxa"/>
                  </w:tcMar>
                  <w:vAlign w:val="center"/>
                </w:tcPr>
                <w:p w14:paraId="44C40285">
                  <w:pPr>
                    <w:widowControl/>
                    <w:jc w:val="center"/>
                    <w:textAlignment w:val="top"/>
                    <w:rPr>
                      <w:rFonts w:ascii="宋体" w:hAnsi="宋体" w:cs="宋体"/>
                      <w:sz w:val="20"/>
                      <w:szCs w:val="20"/>
                    </w:rPr>
                  </w:pPr>
                  <w:r>
                    <w:rPr>
                      <w:rFonts w:hint="eastAsia" w:ascii="宋体" w:hAnsi="宋体" w:cs="宋体"/>
                      <w:sz w:val="20"/>
                      <w:szCs w:val="20"/>
                    </w:rPr>
                    <w:t>1</w:t>
                  </w:r>
                </w:p>
              </w:tc>
              <w:tc>
                <w:tcPr>
                  <w:tcW w:w="581" w:type="pct"/>
                  <w:shd w:val="clear" w:color="auto" w:fill="auto"/>
                  <w:tcMar>
                    <w:top w:w="15" w:type="dxa"/>
                    <w:left w:w="15" w:type="dxa"/>
                    <w:right w:w="15" w:type="dxa"/>
                  </w:tcMar>
                  <w:vAlign w:val="center"/>
                </w:tcPr>
                <w:p w14:paraId="0FA728A0">
                  <w:pPr>
                    <w:widowControl/>
                    <w:jc w:val="center"/>
                    <w:textAlignment w:val="top"/>
                    <w:rPr>
                      <w:rFonts w:ascii="宋体" w:hAnsi="宋体" w:cs="宋体"/>
                      <w:sz w:val="20"/>
                      <w:szCs w:val="20"/>
                    </w:rPr>
                  </w:pPr>
                </w:p>
              </w:tc>
            </w:tr>
            <w:tr w14:paraId="076A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76410FA5">
                  <w:pPr>
                    <w:widowControl/>
                    <w:jc w:val="center"/>
                    <w:textAlignment w:val="top"/>
                    <w:rPr>
                      <w:rFonts w:ascii="宋体" w:hAnsi="宋体" w:cs="宋体"/>
                      <w:sz w:val="20"/>
                      <w:szCs w:val="20"/>
                    </w:rPr>
                  </w:pPr>
                  <w:r>
                    <w:rPr>
                      <w:rFonts w:hint="eastAsia" w:ascii="宋体" w:hAnsi="宋体" w:cs="宋体"/>
                      <w:sz w:val="20"/>
                      <w:szCs w:val="20"/>
                    </w:rPr>
                    <w:t>4</w:t>
                  </w:r>
                </w:p>
              </w:tc>
              <w:tc>
                <w:tcPr>
                  <w:tcW w:w="2944" w:type="pct"/>
                  <w:shd w:val="clear" w:color="auto" w:fill="auto"/>
                  <w:tcMar>
                    <w:top w:w="15" w:type="dxa"/>
                    <w:left w:w="15" w:type="dxa"/>
                    <w:right w:w="15" w:type="dxa"/>
                  </w:tcMar>
                  <w:vAlign w:val="center"/>
                </w:tcPr>
                <w:p w14:paraId="54849148">
                  <w:pPr>
                    <w:widowControl/>
                    <w:jc w:val="center"/>
                    <w:textAlignment w:val="top"/>
                    <w:rPr>
                      <w:rFonts w:ascii="宋体" w:hAnsi="宋体" w:cs="宋体"/>
                      <w:sz w:val="20"/>
                      <w:szCs w:val="20"/>
                    </w:rPr>
                  </w:pPr>
                  <w:r>
                    <w:rPr>
                      <w:rFonts w:hint="eastAsia" w:ascii="宋体" w:hAnsi="宋体" w:cs="宋体"/>
                      <w:sz w:val="20"/>
                      <w:szCs w:val="20"/>
                    </w:rPr>
                    <w:t>重复式呼吸管道</w:t>
                  </w:r>
                </w:p>
              </w:tc>
              <w:tc>
                <w:tcPr>
                  <w:tcW w:w="402" w:type="pct"/>
                  <w:shd w:val="clear" w:color="auto" w:fill="auto"/>
                  <w:tcMar>
                    <w:top w:w="15" w:type="dxa"/>
                    <w:left w:w="15" w:type="dxa"/>
                    <w:right w:w="15" w:type="dxa"/>
                  </w:tcMar>
                  <w:vAlign w:val="center"/>
                </w:tcPr>
                <w:p w14:paraId="29A1BD3E">
                  <w:pPr>
                    <w:widowControl/>
                    <w:jc w:val="center"/>
                    <w:textAlignment w:val="top"/>
                    <w:rPr>
                      <w:rFonts w:ascii="宋体" w:hAnsi="宋体" w:cs="宋体"/>
                      <w:sz w:val="20"/>
                      <w:szCs w:val="20"/>
                    </w:rPr>
                  </w:pPr>
                  <w:r>
                    <w:rPr>
                      <w:rFonts w:hint="eastAsia" w:ascii="宋体" w:hAnsi="宋体" w:cs="宋体"/>
                      <w:sz w:val="20"/>
                      <w:szCs w:val="20"/>
                    </w:rPr>
                    <w:t>套</w:t>
                  </w:r>
                </w:p>
              </w:tc>
              <w:tc>
                <w:tcPr>
                  <w:tcW w:w="581" w:type="pct"/>
                  <w:shd w:val="clear" w:color="auto" w:fill="auto"/>
                  <w:tcMar>
                    <w:top w:w="15" w:type="dxa"/>
                    <w:left w:w="15" w:type="dxa"/>
                    <w:right w:w="15" w:type="dxa"/>
                  </w:tcMar>
                  <w:vAlign w:val="center"/>
                </w:tcPr>
                <w:p w14:paraId="1B596F8D">
                  <w:pPr>
                    <w:widowControl/>
                    <w:jc w:val="center"/>
                    <w:textAlignment w:val="top"/>
                    <w:rPr>
                      <w:rFonts w:ascii="宋体" w:hAnsi="宋体" w:cs="宋体"/>
                      <w:sz w:val="20"/>
                      <w:szCs w:val="20"/>
                    </w:rPr>
                  </w:pPr>
                  <w:r>
                    <w:rPr>
                      <w:rFonts w:hint="eastAsia" w:ascii="宋体" w:hAnsi="宋体" w:cs="宋体"/>
                      <w:sz w:val="20"/>
                      <w:szCs w:val="20"/>
                    </w:rPr>
                    <w:t>1</w:t>
                  </w:r>
                </w:p>
              </w:tc>
              <w:tc>
                <w:tcPr>
                  <w:tcW w:w="581" w:type="pct"/>
                  <w:shd w:val="clear" w:color="auto" w:fill="auto"/>
                  <w:tcMar>
                    <w:top w:w="15" w:type="dxa"/>
                    <w:left w:w="15" w:type="dxa"/>
                    <w:right w:w="15" w:type="dxa"/>
                  </w:tcMar>
                  <w:vAlign w:val="center"/>
                </w:tcPr>
                <w:p w14:paraId="72659540">
                  <w:pPr>
                    <w:widowControl/>
                    <w:jc w:val="center"/>
                    <w:textAlignment w:val="top"/>
                    <w:rPr>
                      <w:rFonts w:ascii="宋体" w:hAnsi="宋体" w:cs="宋体"/>
                      <w:sz w:val="20"/>
                      <w:szCs w:val="20"/>
                    </w:rPr>
                  </w:pPr>
                </w:p>
              </w:tc>
            </w:tr>
            <w:tr w14:paraId="658D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4C47D53E">
                  <w:pPr>
                    <w:widowControl/>
                    <w:jc w:val="center"/>
                    <w:textAlignment w:val="top"/>
                    <w:rPr>
                      <w:rFonts w:ascii="宋体" w:hAnsi="宋体" w:cs="宋体"/>
                      <w:sz w:val="20"/>
                      <w:szCs w:val="20"/>
                    </w:rPr>
                  </w:pPr>
                  <w:r>
                    <w:rPr>
                      <w:rFonts w:hint="eastAsia" w:ascii="宋体" w:hAnsi="宋体" w:cs="宋体"/>
                      <w:sz w:val="20"/>
                      <w:szCs w:val="20"/>
                    </w:rPr>
                    <w:t>5</w:t>
                  </w:r>
                </w:p>
              </w:tc>
              <w:tc>
                <w:tcPr>
                  <w:tcW w:w="2944" w:type="pct"/>
                  <w:shd w:val="clear" w:color="auto" w:fill="auto"/>
                  <w:tcMar>
                    <w:top w:w="15" w:type="dxa"/>
                    <w:left w:w="15" w:type="dxa"/>
                    <w:right w:w="15" w:type="dxa"/>
                  </w:tcMar>
                  <w:vAlign w:val="center"/>
                </w:tcPr>
                <w:p w14:paraId="3B6626B1">
                  <w:pPr>
                    <w:widowControl/>
                    <w:jc w:val="center"/>
                    <w:textAlignment w:val="top"/>
                    <w:rPr>
                      <w:rFonts w:ascii="宋体" w:hAnsi="宋体" w:cs="宋体"/>
                      <w:sz w:val="20"/>
                      <w:szCs w:val="20"/>
                    </w:rPr>
                  </w:pPr>
                  <w:r>
                    <w:rPr>
                      <w:rFonts w:hint="eastAsia" w:ascii="宋体" w:hAnsi="宋体" w:cs="宋体"/>
                      <w:sz w:val="20"/>
                      <w:szCs w:val="20"/>
                    </w:rPr>
                    <w:t>流量传感器</w:t>
                  </w:r>
                </w:p>
              </w:tc>
              <w:tc>
                <w:tcPr>
                  <w:tcW w:w="402" w:type="pct"/>
                  <w:shd w:val="clear" w:color="auto" w:fill="auto"/>
                  <w:tcMar>
                    <w:top w:w="15" w:type="dxa"/>
                    <w:left w:w="15" w:type="dxa"/>
                    <w:right w:w="15" w:type="dxa"/>
                  </w:tcMar>
                  <w:vAlign w:val="center"/>
                </w:tcPr>
                <w:p w14:paraId="007E2EBE">
                  <w:pPr>
                    <w:widowControl/>
                    <w:jc w:val="center"/>
                    <w:textAlignment w:val="top"/>
                    <w:rPr>
                      <w:rFonts w:ascii="宋体" w:hAnsi="宋体" w:cs="宋体"/>
                      <w:sz w:val="20"/>
                      <w:szCs w:val="20"/>
                    </w:rPr>
                  </w:pPr>
                  <w:r>
                    <w:rPr>
                      <w:rFonts w:hint="eastAsia" w:ascii="宋体" w:hAnsi="宋体" w:cs="宋体"/>
                      <w:sz w:val="20"/>
                      <w:szCs w:val="20"/>
                    </w:rPr>
                    <w:t>个</w:t>
                  </w:r>
                </w:p>
              </w:tc>
              <w:tc>
                <w:tcPr>
                  <w:tcW w:w="581" w:type="pct"/>
                  <w:shd w:val="clear" w:color="auto" w:fill="auto"/>
                  <w:tcMar>
                    <w:top w:w="15" w:type="dxa"/>
                    <w:left w:w="15" w:type="dxa"/>
                    <w:right w:w="15" w:type="dxa"/>
                  </w:tcMar>
                  <w:vAlign w:val="center"/>
                </w:tcPr>
                <w:p w14:paraId="07CEF751">
                  <w:pPr>
                    <w:widowControl/>
                    <w:jc w:val="center"/>
                    <w:textAlignment w:val="top"/>
                    <w:rPr>
                      <w:rFonts w:ascii="宋体" w:hAnsi="宋体" w:cs="宋体"/>
                      <w:sz w:val="20"/>
                      <w:szCs w:val="20"/>
                    </w:rPr>
                  </w:pPr>
                  <w:r>
                    <w:rPr>
                      <w:rFonts w:hint="eastAsia" w:ascii="宋体" w:hAnsi="宋体" w:cs="宋体"/>
                      <w:sz w:val="20"/>
                      <w:szCs w:val="20"/>
                    </w:rPr>
                    <w:t>5</w:t>
                  </w:r>
                </w:p>
              </w:tc>
              <w:tc>
                <w:tcPr>
                  <w:tcW w:w="581" w:type="pct"/>
                  <w:shd w:val="clear" w:color="auto" w:fill="auto"/>
                  <w:tcMar>
                    <w:top w:w="15" w:type="dxa"/>
                    <w:left w:w="15" w:type="dxa"/>
                    <w:right w:w="15" w:type="dxa"/>
                  </w:tcMar>
                  <w:vAlign w:val="center"/>
                </w:tcPr>
                <w:p w14:paraId="1C89BA71">
                  <w:pPr>
                    <w:widowControl/>
                    <w:jc w:val="center"/>
                    <w:textAlignment w:val="top"/>
                    <w:rPr>
                      <w:rFonts w:ascii="宋体" w:hAnsi="宋体" w:cs="宋体"/>
                      <w:sz w:val="20"/>
                      <w:szCs w:val="20"/>
                    </w:rPr>
                  </w:pPr>
                </w:p>
              </w:tc>
            </w:tr>
            <w:tr w14:paraId="50A5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42C3AEE8">
                  <w:pPr>
                    <w:widowControl/>
                    <w:jc w:val="center"/>
                    <w:textAlignment w:val="top"/>
                    <w:rPr>
                      <w:rFonts w:ascii="宋体" w:hAnsi="宋体" w:cs="宋体"/>
                      <w:sz w:val="20"/>
                      <w:szCs w:val="20"/>
                    </w:rPr>
                  </w:pPr>
                  <w:r>
                    <w:rPr>
                      <w:rFonts w:hint="eastAsia" w:ascii="宋体" w:hAnsi="宋体" w:cs="宋体"/>
                      <w:sz w:val="20"/>
                      <w:szCs w:val="20"/>
                    </w:rPr>
                    <w:t>6</w:t>
                  </w:r>
                </w:p>
              </w:tc>
              <w:tc>
                <w:tcPr>
                  <w:tcW w:w="2944" w:type="pct"/>
                  <w:shd w:val="clear" w:color="auto" w:fill="auto"/>
                  <w:tcMar>
                    <w:top w:w="15" w:type="dxa"/>
                    <w:left w:w="15" w:type="dxa"/>
                    <w:right w:w="15" w:type="dxa"/>
                  </w:tcMar>
                  <w:vAlign w:val="center"/>
                </w:tcPr>
                <w:p w14:paraId="1FF77101">
                  <w:pPr>
                    <w:widowControl/>
                    <w:jc w:val="center"/>
                    <w:textAlignment w:val="top"/>
                    <w:rPr>
                      <w:rFonts w:ascii="宋体" w:hAnsi="宋体" w:cs="宋体"/>
                      <w:sz w:val="20"/>
                      <w:szCs w:val="20"/>
                    </w:rPr>
                  </w:pPr>
                  <w:r>
                    <w:rPr>
                      <w:rFonts w:hint="eastAsia" w:ascii="宋体" w:hAnsi="宋体" w:cs="宋体"/>
                      <w:sz w:val="20"/>
                      <w:szCs w:val="20"/>
                    </w:rPr>
                    <w:t>高压供氧管</w:t>
                  </w:r>
                </w:p>
              </w:tc>
              <w:tc>
                <w:tcPr>
                  <w:tcW w:w="402" w:type="pct"/>
                  <w:shd w:val="clear" w:color="auto" w:fill="auto"/>
                  <w:tcMar>
                    <w:top w:w="15" w:type="dxa"/>
                    <w:left w:w="15" w:type="dxa"/>
                    <w:right w:w="15" w:type="dxa"/>
                  </w:tcMar>
                  <w:vAlign w:val="center"/>
                </w:tcPr>
                <w:p w14:paraId="23139FDA">
                  <w:pPr>
                    <w:widowControl/>
                    <w:jc w:val="center"/>
                    <w:textAlignment w:val="top"/>
                    <w:rPr>
                      <w:rFonts w:ascii="宋体" w:hAnsi="宋体" w:cs="宋体"/>
                      <w:sz w:val="20"/>
                      <w:szCs w:val="20"/>
                    </w:rPr>
                  </w:pPr>
                  <w:r>
                    <w:rPr>
                      <w:rFonts w:hint="eastAsia" w:ascii="宋体" w:hAnsi="宋体" w:cs="宋体"/>
                      <w:sz w:val="20"/>
                      <w:szCs w:val="20"/>
                    </w:rPr>
                    <w:t>套</w:t>
                  </w:r>
                </w:p>
              </w:tc>
              <w:tc>
                <w:tcPr>
                  <w:tcW w:w="581" w:type="pct"/>
                  <w:shd w:val="clear" w:color="auto" w:fill="auto"/>
                  <w:tcMar>
                    <w:top w:w="15" w:type="dxa"/>
                    <w:left w:w="15" w:type="dxa"/>
                    <w:right w:w="15" w:type="dxa"/>
                  </w:tcMar>
                  <w:vAlign w:val="center"/>
                </w:tcPr>
                <w:p w14:paraId="35DEEA0B">
                  <w:pPr>
                    <w:widowControl/>
                    <w:jc w:val="center"/>
                    <w:textAlignment w:val="top"/>
                    <w:rPr>
                      <w:rFonts w:ascii="宋体" w:hAnsi="宋体" w:cs="宋体"/>
                      <w:sz w:val="20"/>
                      <w:szCs w:val="20"/>
                    </w:rPr>
                  </w:pPr>
                  <w:r>
                    <w:rPr>
                      <w:rFonts w:hint="eastAsia" w:ascii="宋体" w:hAnsi="宋体" w:cs="宋体"/>
                      <w:sz w:val="20"/>
                      <w:szCs w:val="20"/>
                    </w:rPr>
                    <w:t>1</w:t>
                  </w:r>
                </w:p>
              </w:tc>
              <w:tc>
                <w:tcPr>
                  <w:tcW w:w="581" w:type="pct"/>
                  <w:shd w:val="clear" w:color="auto" w:fill="auto"/>
                  <w:tcMar>
                    <w:top w:w="15" w:type="dxa"/>
                    <w:left w:w="15" w:type="dxa"/>
                    <w:right w:w="15" w:type="dxa"/>
                  </w:tcMar>
                  <w:vAlign w:val="center"/>
                </w:tcPr>
                <w:p w14:paraId="5531BA5D">
                  <w:pPr>
                    <w:widowControl/>
                    <w:jc w:val="center"/>
                    <w:textAlignment w:val="top"/>
                    <w:rPr>
                      <w:rFonts w:ascii="宋体" w:hAnsi="宋体" w:cs="宋体"/>
                      <w:sz w:val="20"/>
                      <w:szCs w:val="20"/>
                    </w:rPr>
                  </w:pPr>
                  <w:r>
                    <w:rPr>
                      <w:rFonts w:hint="eastAsia" w:ascii="宋体" w:hAnsi="宋体" w:cs="宋体"/>
                      <w:sz w:val="20"/>
                      <w:szCs w:val="20"/>
                    </w:rPr>
                    <w:t>≥3米</w:t>
                  </w:r>
                </w:p>
              </w:tc>
            </w:tr>
            <w:tr w14:paraId="0F7E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4535EB08">
                  <w:pPr>
                    <w:widowControl/>
                    <w:jc w:val="center"/>
                    <w:textAlignment w:val="top"/>
                    <w:rPr>
                      <w:rFonts w:ascii="宋体" w:hAnsi="宋体" w:cs="宋体"/>
                      <w:sz w:val="20"/>
                      <w:szCs w:val="20"/>
                    </w:rPr>
                  </w:pPr>
                  <w:r>
                    <w:rPr>
                      <w:rFonts w:hint="eastAsia" w:ascii="宋体" w:hAnsi="宋体" w:cs="宋体"/>
                      <w:sz w:val="20"/>
                      <w:szCs w:val="20"/>
                    </w:rPr>
                    <w:t>7</w:t>
                  </w:r>
                </w:p>
              </w:tc>
              <w:tc>
                <w:tcPr>
                  <w:tcW w:w="2944" w:type="pct"/>
                  <w:shd w:val="clear" w:color="auto" w:fill="auto"/>
                  <w:tcMar>
                    <w:top w:w="15" w:type="dxa"/>
                    <w:left w:w="15" w:type="dxa"/>
                    <w:right w:w="15" w:type="dxa"/>
                  </w:tcMar>
                  <w:vAlign w:val="center"/>
                </w:tcPr>
                <w:p w14:paraId="3EA52EFB">
                  <w:pPr>
                    <w:widowControl/>
                    <w:jc w:val="center"/>
                    <w:textAlignment w:val="top"/>
                    <w:rPr>
                      <w:rFonts w:ascii="宋体" w:hAnsi="宋体" w:cs="宋体"/>
                      <w:sz w:val="20"/>
                      <w:szCs w:val="20"/>
                    </w:rPr>
                  </w:pPr>
                  <w:r>
                    <w:rPr>
                      <w:rFonts w:hint="eastAsia" w:ascii="宋体" w:hAnsi="宋体" w:cs="宋体"/>
                      <w:sz w:val="20"/>
                      <w:szCs w:val="20"/>
                    </w:rPr>
                    <w:t>高压供气管</w:t>
                  </w:r>
                </w:p>
              </w:tc>
              <w:tc>
                <w:tcPr>
                  <w:tcW w:w="402" w:type="pct"/>
                  <w:shd w:val="clear" w:color="auto" w:fill="auto"/>
                  <w:tcMar>
                    <w:top w:w="15" w:type="dxa"/>
                    <w:left w:w="15" w:type="dxa"/>
                    <w:right w:w="15" w:type="dxa"/>
                  </w:tcMar>
                  <w:vAlign w:val="center"/>
                </w:tcPr>
                <w:p w14:paraId="2AF99EAF">
                  <w:pPr>
                    <w:widowControl/>
                    <w:jc w:val="center"/>
                    <w:textAlignment w:val="top"/>
                    <w:rPr>
                      <w:rFonts w:ascii="宋体" w:hAnsi="宋体" w:cs="宋体"/>
                      <w:sz w:val="20"/>
                      <w:szCs w:val="20"/>
                    </w:rPr>
                  </w:pPr>
                  <w:r>
                    <w:rPr>
                      <w:rFonts w:hint="eastAsia" w:ascii="宋体" w:hAnsi="宋体" w:cs="宋体"/>
                      <w:sz w:val="20"/>
                      <w:szCs w:val="20"/>
                    </w:rPr>
                    <w:t>套</w:t>
                  </w:r>
                </w:p>
              </w:tc>
              <w:tc>
                <w:tcPr>
                  <w:tcW w:w="581" w:type="pct"/>
                  <w:shd w:val="clear" w:color="auto" w:fill="auto"/>
                  <w:tcMar>
                    <w:top w:w="15" w:type="dxa"/>
                    <w:left w:w="15" w:type="dxa"/>
                    <w:right w:w="15" w:type="dxa"/>
                  </w:tcMar>
                  <w:vAlign w:val="center"/>
                </w:tcPr>
                <w:p w14:paraId="56E83372">
                  <w:pPr>
                    <w:widowControl/>
                    <w:jc w:val="center"/>
                    <w:textAlignment w:val="top"/>
                    <w:rPr>
                      <w:rFonts w:ascii="宋体" w:hAnsi="宋体" w:cs="宋体"/>
                      <w:sz w:val="20"/>
                      <w:szCs w:val="20"/>
                    </w:rPr>
                  </w:pPr>
                  <w:r>
                    <w:rPr>
                      <w:rFonts w:hint="eastAsia" w:ascii="宋体" w:hAnsi="宋体" w:cs="宋体"/>
                      <w:sz w:val="20"/>
                      <w:szCs w:val="20"/>
                    </w:rPr>
                    <w:t>1</w:t>
                  </w:r>
                </w:p>
              </w:tc>
              <w:tc>
                <w:tcPr>
                  <w:tcW w:w="581" w:type="pct"/>
                  <w:shd w:val="clear" w:color="auto" w:fill="auto"/>
                  <w:tcMar>
                    <w:top w:w="15" w:type="dxa"/>
                    <w:left w:w="15" w:type="dxa"/>
                    <w:right w:w="15" w:type="dxa"/>
                  </w:tcMar>
                  <w:vAlign w:val="center"/>
                </w:tcPr>
                <w:p w14:paraId="6F72D295">
                  <w:pPr>
                    <w:widowControl/>
                    <w:jc w:val="center"/>
                    <w:textAlignment w:val="top"/>
                    <w:rPr>
                      <w:rFonts w:ascii="宋体" w:hAnsi="宋体" w:cs="宋体"/>
                      <w:sz w:val="20"/>
                      <w:szCs w:val="20"/>
                    </w:rPr>
                  </w:pPr>
                  <w:r>
                    <w:rPr>
                      <w:rFonts w:hint="eastAsia" w:ascii="宋体" w:hAnsi="宋体" w:cs="宋体"/>
                      <w:sz w:val="20"/>
                      <w:szCs w:val="20"/>
                    </w:rPr>
                    <w:t>≥3米</w:t>
                  </w:r>
                </w:p>
              </w:tc>
            </w:tr>
            <w:tr w14:paraId="42D7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029B672D">
                  <w:pPr>
                    <w:widowControl/>
                    <w:jc w:val="center"/>
                    <w:textAlignment w:val="top"/>
                    <w:rPr>
                      <w:rFonts w:ascii="宋体" w:hAnsi="宋体" w:cs="宋体"/>
                      <w:sz w:val="20"/>
                      <w:szCs w:val="20"/>
                    </w:rPr>
                  </w:pPr>
                  <w:r>
                    <w:rPr>
                      <w:rFonts w:hint="eastAsia" w:ascii="宋体" w:hAnsi="宋体" w:cs="宋体"/>
                      <w:sz w:val="20"/>
                      <w:szCs w:val="20"/>
                    </w:rPr>
                    <w:t>8</w:t>
                  </w:r>
                </w:p>
              </w:tc>
              <w:tc>
                <w:tcPr>
                  <w:tcW w:w="2944" w:type="pct"/>
                  <w:shd w:val="clear" w:color="auto" w:fill="auto"/>
                  <w:tcMar>
                    <w:top w:w="15" w:type="dxa"/>
                    <w:left w:w="15" w:type="dxa"/>
                    <w:right w:w="15" w:type="dxa"/>
                  </w:tcMar>
                  <w:vAlign w:val="center"/>
                </w:tcPr>
                <w:p w14:paraId="3E126199">
                  <w:pPr>
                    <w:widowControl/>
                    <w:jc w:val="center"/>
                    <w:textAlignment w:val="top"/>
                    <w:rPr>
                      <w:rFonts w:ascii="宋体" w:hAnsi="宋体" w:cs="宋体"/>
                      <w:sz w:val="20"/>
                      <w:szCs w:val="20"/>
                    </w:rPr>
                  </w:pPr>
                  <w:r>
                    <w:rPr>
                      <w:rFonts w:hint="eastAsia" w:ascii="宋体" w:hAnsi="宋体" w:cs="宋体"/>
                      <w:sz w:val="20"/>
                      <w:szCs w:val="20"/>
                    </w:rPr>
                    <w:t>外伸臂</w:t>
                  </w:r>
                </w:p>
              </w:tc>
              <w:tc>
                <w:tcPr>
                  <w:tcW w:w="402" w:type="pct"/>
                  <w:shd w:val="clear" w:color="auto" w:fill="auto"/>
                  <w:tcMar>
                    <w:top w:w="15" w:type="dxa"/>
                    <w:left w:w="15" w:type="dxa"/>
                    <w:right w:w="15" w:type="dxa"/>
                  </w:tcMar>
                  <w:vAlign w:val="center"/>
                </w:tcPr>
                <w:p w14:paraId="75052DF0">
                  <w:pPr>
                    <w:widowControl/>
                    <w:jc w:val="center"/>
                    <w:textAlignment w:val="top"/>
                    <w:rPr>
                      <w:rFonts w:ascii="宋体" w:hAnsi="宋体" w:cs="宋体"/>
                      <w:sz w:val="20"/>
                      <w:szCs w:val="20"/>
                    </w:rPr>
                  </w:pPr>
                  <w:r>
                    <w:rPr>
                      <w:rFonts w:hint="eastAsia" w:ascii="宋体" w:hAnsi="宋体" w:cs="宋体"/>
                      <w:sz w:val="20"/>
                      <w:szCs w:val="20"/>
                    </w:rPr>
                    <w:t>套</w:t>
                  </w:r>
                </w:p>
              </w:tc>
              <w:tc>
                <w:tcPr>
                  <w:tcW w:w="581" w:type="pct"/>
                  <w:shd w:val="clear" w:color="auto" w:fill="auto"/>
                  <w:tcMar>
                    <w:top w:w="15" w:type="dxa"/>
                    <w:left w:w="15" w:type="dxa"/>
                    <w:right w:w="15" w:type="dxa"/>
                  </w:tcMar>
                  <w:vAlign w:val="center"/>
                </w:tcPr>
                <w:p w14:paraId="31E6A588">
                  <w:pPr>
                    <w:widowControl/>
                    <w:jc w:val="center"/>
                    <w:textAlignment w:val="top"/>
                    <w:rPr>
                      <w:rFonts w:ascii="宋体" w:hAnsi="宋体" w:cs="宋体"/>
                      <w:sz w:val="20"/>
                      <w:szCs w:val="20"/>
                    </w:rPr>
                  </w:pPr>
                  <w:r>
                    <w:rPr>
                      <w:rFonts w:hint="eastAsia" w:ascii="宋体" w:hAnsi="宋体" w:cs="宋体"/>
                      <w:sz w:val="20"/>
                      <w:szCs w:val="20"/>
                    </w:rPr>
                    <w:t>1</w:t>
                  </w:r>
                </w:p>
              </w:tc>
              <w:tc>
                <w:tcPr>
                  <w:tcW w:w="581" w:type="pct"/>
                  <w:shd w:val="clear" w:color="auto" w:fill="auto"/>
                  <w:tcMar>
                    <w:top w:w="15" w:type="dxa"/>
                    <w:left w:w="15" w:type="dxa"/>
                    <w:right w:w="15" w:type="dxa"/>
                  </w:tcMar>
                  <w:vAlign w:val="center"/>
                </w:tcPr>
                <w:p w14:paraId="09DDC5C4">
                  <w:pPr>
                    <w:widowControl/>
                    <w:jc w:val="center"/>
                    <w:textAlignment w:val="top"/>
                    <w:rPr>
                      <w:rFonts w:ascii="宋体" w:hAnsi="宋体" w:cs="宋体"/>
                      <w:sz w:val="20"/>
                      <w:szCs w:val="20"/>
                    </w:rPr>
                  </w:pPr>
                </w:p>
              </w:tc>
            </w:tr>
            <w:tr w14:paraId="0A17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6C5BAE58">
                  <w:pPr>
                    <w:widowControl/>
                    <w:jc w:val="center"/>
                    <w:textAlignment w:val="top"/>
                    <w:rPr>
                      <w:rFonts w:ascii="宋体" w:hAnsi="宋体" w:cs="宋体"/>
                      <w:sz w:val="20"/>
                      <w:szCs w:val="20"/>
                    </w:rPr>
                  </w:pPr>
                  <w:r>
                    <w:rPr>
                      <w:rFonts w:hint="eastAsia" w:ascii="宋体" w:hAnsi="宋体" w:cs="宋体"/>
                      <w:sz w:val="20"/>
                      <w:szCs w:val="20"/>
                    </w:rPr>
                    <w:t>9</w:t>
                  </w:r>
                </w:p>
              </w:tc>
              <w:tc>
                <w:tcPr>
                  <w:tcW w:w="2944" w:type="pct"/>
                  <w:shd w:val="clear" w:color="auto" w:fill="auto"/>
                  <w:tcMar>
                    <w:top w:w="15" w:type="dxa"/>
                    <w:left w:w="15" w:type="dxa"/>
                    <w:right w:w="15" w:type="dxa"/>
                  </w:tcMar>
                  <w:vAlign w:val="center"/>
                </w:tcPr>
                <w:p w14:paraId="39837B5E">
                  <w:pPr>
                    <w:widowControl/>
                    <w:jc w:val="center"/>
                    <w:textAlignment w:val="top"/>
                    <w:rPr>
                      <w:rFonts w:ascii="宋体" w:hAnsi="宋体" w:cs="宋体"/>
                      <w:sz w:val="20"/>
                      <w:szCs w:val="20"/>
                    </w:rPr>
                  </w:pPr>
                  <w:r>
                    <w:rPr>
                      <w:rFonts w:hint="eastAsia" w:ascii="宋体" w:hAnsi="宋体" w:cs="宋体"/>
                      <w:sz w:val="20"/>
                      <w:szCs w:val="20"/>
                    </w:rPr>
                    <w:t>一次性呼吸回路</w:t>
                  </w:r>
                </w:p>
              </w:tc>
              <w:tc>
                <w:tcPr>
                  <w:tcW w:w="402" w:type="pct"/>
                  <w:shd w:val="clear" w:color="auto" w:fill="auto"/>
                  <w:tcMar>
                    <w:top w:w="15" w:type="dxa"/>
                    <w:left w:w="15" w:type="dxa"/>
                    <w:right w:w="15" w:type="dxa"/>
                  </w:tcMar>
                  <w:vAlign w:val="center"/>
                </w:tcPr>
                <w:p w14:paraId="2A439A43">
                  <w:pPr>
                    <w:widowControl/>
                    <w:jc w:val="center"/>
                    <w:textAlignment w:val="top"/>
                    <w:rPr>
                      <w:rFonts w:ascii="宋体" w:hAnsi="宋体" w:cs="宋体"/>
                      <w:sz w:val="20"/>
                      <w:szCs w:val="20"/>
                    </w:rPr>
                  </w:pPr>
                  <w:r>
                    <w:rPr>
                      <w:rFonts w:hint="eastAsia" w:ascii="宋体" w:hAnsi="宋体" w:cs="宋体"/>
                      <w:sz w:val="20"/>
                      <w:szCs w:val="20"/>
                    </w:rPr>
                    <w:t>套</w:t>
                  </w:r>
                </w:p>
              </w:tc>
              <w:tc>
                <w:tcPr>
                  <w:tcW w:w="581" w:type="pct"/>
                  <w:shd w:val="clear" w:color="auto" w:fill="auto"/>
                  <w:tcMar>
                    <w:top w:w="15" w:type="dxa"/>
                    <w:left w:w="15" w:type="dxa"/>
                    <w:right w:w="15" w:type="dxa"/>
                  </w:tcMar>
                  <w:vAlign w:val="center"/>
                </w:tcPr>
                <w:p w14:paraId="3F12CBD9">
                  <w:pPr>
                    <w:widowControl/>
                    <w:jc w:val="center"/>
                    <w:textAlignment w:val="top"/>
                    <w:rPr>
                      <w:rFonts w:ascii="宋体" w:hAnsi="宋体" w:cs="宋体"/>
                      <w:sz w:val="20"/>
                      <w:szCs w:val="20"/>
                    </w:rPr>
                  </w:pPr>
                  <w:r>
                    <w:rPr>
                      <w:rFonts w:hint="eastAsia" w:ascii="宋体" w:hAnsi="宋体" w:cs="宋体"/>
                      <w:sz w:val="20"/>
                      <w:szCs w:val="20"/>
                    </w:rPr>
                    <w:t>1</w:t>
                  </w:r>
                </w:p>
              </w:tc>
              <w:tc>
                <w:tcPr>
                  <w:tcW w:w="581" w:type="pct"/>
                  <w:shd w:val="clear" w:color="auto" w:fill="auto"/>
                  <w:tcMar>
                    <w:top w:w="15" w:type="dxa"/>
                    <w:left w:w="15" w:type="dxa"/>
                    <w:right w:w="15" w:type="dxa"/>
                  </w:tcMar>
                  <w:vAlign w:val="center"/>
                </w:tcPr>
                <w:p w14:paraId="201E985A">
                  <w:pPr>
                    <w:widowControl/>
                    <w:jc w:val="center"/>
                    <w:textAlignment w:val="top"/>
                    <w:rPr>
                      <w:rFonts w:ascii="宋体" w:hAnsi="宋体" w:cs="宋体"/>
                      <w:sz w:val="20"/>
                      <w:szCs w:val="20"/>
                    </w:rPr>
                  </w:pPr>
                </w:p>
              </w:tc>
            </w:tr>
            <w:tr w14:paraId="254D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4B420D9E">
                  <w:pPr>
                    <w:widowControl/>
                    <w:jc w:val="center"/>
                    <w:textAlignment w:val="top"/>
                    <w:rPr>
                      <w:rFonts w:ascii="宋体" w:hAnsi="宋体" w:cs="宋体"/>
                      <w:sz w:val="20"/>
                      <w:szCs w:val="20"/>
                    </w:rPr>
                  </w:pPr>
                  <w:r>
                    <w:rPr>
                      <w:rFonts w:ascii="宋体" w:hAnsi="宋体" w:cs="宋体"/>
                      <w:sz w:val="20"/>
                      <w:szCs w:val="20"/>
                    </w:rPr>
                    <w:t>10</w:t>
                  </w:r>
                </w:p>
              </w:tc>
              <w:tc>
                <w:tcPr>
                  <w:tcW w:w="2944" w:type="pct"/>
                  <w:shd w:val="clear" w:color="auto" w:fill="auto"/>
                  <w:tcMar>
                    <w:top w:w="15" w:type="dxa"/>
                    <w:left w:w="15" w:type="dxa"/>
                    <w:right w:w="15" w:type="dxa"/>
                  </w:tcMar>
                  <w:vAlign w:val="center"/>
                </w:tcPr>
                <w:p w14:paraId="48F3F0C2">
                  <w:pPr>
                    <w:widowControl/>
                    <w:jc w:val="center"/>
                    <w:textAlignment w:val="top"/>
                    <w:rPr>
                      <w:rFonts w:ascii="宋体" w:hAnsi="宋体" w:cs="宋体"/>
                      <w:sz w:val="20"/>
                      <w:szCs w:val="20"/>
                    </w:rPr>
                  </w:pPr>
                  <w:r>
                    <w:rPr>
                      <w:rFonts w:hint="eastAsia" w:ascii="宋体" w:hAnsi="宋体" w:cs="宋体"/>
                      <w:sz w:val="20"/>
                      <w:szCs w:val="20"/>
                    </w:rPr>
                    <w:t>车架及其配件</w:t>
                  </w:r>
                </w:p>
              </w:tc>
              <w:tc>
                <w:tcPr>
                  <w:tcW w:w="402" w:type="pct"/>
                  <w:shd w:val="clear" w:color="auto" w:fill="auto"/>
                  <w:tcMar>
                    <w:top w:w="15" w:type="dxa"/>
                    <w:left w:w="15" w:type="dxa"/>
                    <w:right w:w="15" w:type="dxa"/>
                  </w:tcMar>
                  <w:vAlign w:val="center"/>
                </w:tcPr>
                <w:p w14:paraId="2821B24F">
                  <w:pPr>
                    <w:widowControl/>
                    <w:jc w:val="center"/>
                    <w:textAlignment w:val="top"/>
                    <w:rPr>
                      <w:rFonts w:ascii="宋体" w:hAnsi="宋体" w:cs="宋体"/>
                      <w:sz w:val="20"/>
                      <w:szCs w:val="20"/>
                    </w:rPr>
                  </w:pPr>
                  <w:r>
                    <w:rPr>
                      <w:rFonts w:hint="eastAsia" w:ascii="宋体" w:hAnsi="宋体" w:cs="宋体"/>
                      <w:sz w:val="20"/>
                      <w:szCs w:val="20"/>
                    </w:rPr>
                    <w:t>套</w:t>
                  </w:r>
                </w:p>
              </w:tc>
              <w:tc>
                <w:tcPr>
                  <w:tcW w:w="581" w:type="pct"/>
                  <w:shd w:val="clear" w:color="auto" w:fill="auto"/>
                  <w:tcMar>
                    <w:top w:w="15" w:type="dxa"/>
                    <w:left w:w="15" w:type="dxa"/>
                    <w:right w:w="15" w:type="dxa"/>
                  </w:tcMar>
                  <w:vAlign w:val="center"/>
                </w:tcPr>
                <w:p w14:paraId="3EA7CA3D">
                  <w:pPr>
                    <w:widowControl/>
                    <w:jc w:val="center"/>
                    <w:textAlignment w:val="top"/>
                    <w:rPr>
                      <w:rFonts w:ascii="宋体" w:hAnsi="宋体" w:cs="宋体"/>
                      <w:sz w:val="20"/>
                      <w:szCs w:val="20"/>
                    </w:rPr>
                  </w:pPr>
                  <w:r>
                    <w:rPr>
                      <w:rFonts w:hint="eastAsia" w:ascii="宋体" w:hAnsi="宋体" w:cs="宋体"/>
                      <w:sz w:val="20"/>
                      <w:szCs w:val="20"/>
                    </w:rPr>
                    <w:t>1</w:t>
                  </w:r>
                </w:p>
              </w:tc>
              <w:tc>
                <w:tcPr>
                  <w:tcW w:w="581" w:type="pct"/>
                  <w:shd w:val="clear" w:color="auto" w:fill="auto"/>
                  <w:tcMar>
                    <w:top w:w="15" w:type="dxa"/>
                    <w:left w:w="15" w:type="dxa"/>
                    <w:right w:w="15" w:type="dxa"/>
                  </w:tcMar>
                  <w:vAlign w:val="center"/>
                </w:tcPr>
                <w:p w14:paraId="6AD3B8CD">
                  <w:pPr>
                    <w:widowControl/>
                    <w:jc w:val="center"/>
                    <w:textAlignment w:val="top"/>
                    <w:rPr>
                      <w:rFonts w:ascii="宋体" w:hAnsi="宋体" w:cs="宋体"/>
                      <w:sz w:val="20"/>
                      <w:szCs w:val="20"/>
                    </w:rPr>
                  </w:pPr>
                </w:p>
              </w:tc>
            </w:tr>
            <w:tr w14:paraId="46DB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3A37BCDE">
                  <w:pPr>
                    <w:widowControl/>
                    <w:jc w:val="center"/>
                    <w:textAlignment w:val="top"/>
                    <w:rPr>
                      <w:rFonts w:ascii="宋体" w:hAnsi="宋体" w:cs="宋体"/>
                      <w:sz w:val="20"/>
                      <w:szCs w:val="20"/>
                    </w:rPr>
                  </w:pPr>
                  <w:r>
                    <w:rPr>
                      <w:rFonts w:ascii="宋体" w:hAnsi="宋体" w:cs="宋体"/>
                      <w:sz w:val="20"/>
                      <w:szCs w:val="20"/>
                    </w:rPr>
                    <w:t>11</w:t>
                  </w:r>
                </w:p>
              </w:tc>
              <w:tc>
                <w:tcPr>
                  <w:tcW w:w="2944" w:type="pct"/>
                  <w:shd w:val="clear" w:color="auto" w:fill="auto"/>
                  <w:tcMar>
                    <w:top w:w="15" w:type="dxa"/>
                    <w:left w:w="15" w:type="dxa"/>
                    <w:right w:w="15" w:type="dxa"/>
                  </w:tcMar>
                  <w:vAlign w:val="center"/>
                </w:tcPr>
                <w:p w14:paraId="1F578564">
                  <w:pPr>
                    <w:widowControl/>
                    <w:jc w:val="center"/>
                    <w:textAlignment w:val="top"/>
                    <w:rPr>
                      <w:rFonts w:ascii="宋体" w:hAnsi="宋体" w:cs="宋体"/>
                      <w:sz w:val="20"/>
                      <w:szCs w:val="20"/>
                    </w:rPr>
                  </w:pPr>
                  <w:r>
                    <w:rPr>
                      <w:rFonts w:hint="eastAsia" w:ascii="宋体" w:hAnsi="宋体" w:cs="宋体"/>
                      <w:sz w:val="20"/>
                      <w:szCs w:val="20"/>
                    </w:rPr>
                    <w:t>说明书、保修卡、合格证、维修手册、设备快速操作指南等技术资料</w:t>
                  </w:r>
                </w:p>
              </w:tc>
              <w:tc>
                <w:tcPr>
                  <w:tcW w:w="402" w:type="pct"/>
                  <w:shd w:val="clear" w:color="auto" w:fill="auto"/>
                  <w:tcMar>
                    <w:top w:w="15" w:type="dxa"/>
                    <w:left w:w="15" w:type="dxa"/>
                    <w:right w:w="15" w:type="dxa"/>
                  </w:tcMar>
                  <w:vAlign w:val="center"/>
                </w:tcPr>
                <w:p w14:paraId="4594C097">
                  <w:pPr>
                    <w:widowControl/>
                    <w:jc w:val="center"/>
                    <w:textAlignment w:val="top"/>
                    <w:rPr>
                      <w:rFonts w:ascii="宋体" w:hAnsi="宋体" w:cs="宋体"/>
                      <w:sz w:val="20"/>
                      <w:szCs w:val="20"/>
                    </w:rPr>
                  </w:pPr>
                  <w:r>
                    <w:rPr>
                      <w:rFonts w:hint="eastAsia" w:ascii="宋体" w:hAnsi="宋体" w:cs="宋体"/>
                      <w:sz w:val="20"/>
                      <w:szCs w:val="20"/>
                    </w:rPr>
                    <w:t>套</w:t>
                  </w:r>
                </w:p>
              </w:tc>
              <w:tc>
                <w:tcPr>
                  <w:tcW w:w="581" w:type="pct"/>
                  <w:shd w:val="clear" w:color="auto" w:fill="auto"/>
                  <w:tcMar>
                    <w:top w:w="15" w:type="dxa"/>
                    <w:left w:w="15" w:type="dxa"/>
                    <w:right w:w="15" w:type="dxa"/>
                  </w:tcMar>
                  <w:vAlign w:val="center"/>
                </w:tcPr>
                <w:p w14:paraId="3BE46BA4">
                  <w:pPr>
                    <w:widowControl/>
                    <w:jc w:val="center"/>
                    <w:textAlignment w:val="top"/>
                    <w:rPr>
                      <w:rFonts w:ascii="宋体" w:hAnsi="宋体" w:cs="宋体"/>
                      <w:sz w:val="20"/>
                      <w:szCs w:val="20"/>
                    </w:rPr>
                  </w:pPr>
                  <w:r>
                    <w:rPr>
                      <w:rFonts w:hint="eastAsia" w:ascii="宋体" w:hAnsi="宋体" w:cs="宋体"/>
                      <w:sz w:val="20"/>
                      <w:szCs w:val="20"/>
                    </w:rPr>
                    <w:t>1</w:t>
                  </w:r>
                </w:p>
              </w:tc>
              <w:tc>
                <w:tcPr>
                  <w:tcW w:w="581" w:type="pct"/>
                  <w:shd w:val="clear" w:color="auto" w:fill="auto"/>
                  <w:tcMar>
                    <w:top w:w="15" w:type="dxa"/>
                    <w:left w:w="15" w:type="dxa"/>
                    <w:right w:w="15" w:type="dxa"/>
                  </w:tcMar>
                  <w:vAlign w:val="center"/>
                </w:tcPr>
                <w:p w14:paraId="08CBBC52">
                  <w:pPr>
                    <w:widowControl/>
                    <w:jc w:val="center"/>
                    <w:textAlignment w:val="top"/>
                    <w:rPr>
                      <w:rFonts w:ascii="宋体" w:hAnsi="宋体" w:cs="宋体"/>
                      <w:sz w:val="20"/>
                      <w:szCs w:val="20"/>
                    </w:rPr>
                  </w:pPr>
                </w:p>
              </w:tc>
            </w:tr>
          </w:tbl>
          <w:p w14:paraId="309FC59A">
            <w:pPr>
              <w:pStyle w:val="2"/>
              <w:rPr>
                <w:rFonts w:ascii="宋体" w:hAnsi="宋体" w:cs="宋体"/>
                <w:kern w:val="2"/>
                <w:sz w:val="20"/>
              </w:rPr>
            </w:pPr>
            <w:r>
              <w:rPr>
                <w:rFonts w:ascii="宋体" w:hAnsi="宋体" w:cs="宋体"/>
                <w:kern w:val="2"/>
                <w:sz w:val="20"/>
              </w:rPr>
              <w:tab/>
            </w:r>
          </w:p>
        </w:tc>
      </w:tr>
      <w:tr w14:paraId="2F094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3BC38469">
            <w:pPr>
              <w:pStyle w:val="25"/>
              <w:spacing w:line="360" w:lineRule="auto"/>
              <w:rPr>
                <w:rFonts w:hint="default" w:ascii="宋体" w:hAnsi="宋体" w:cs="宋体"/>
              </w:rPr>
            </w:pPr>
            <w:r>
              <w:rPr>
                <w:rFonts w:ascii="宋体" w:hAnsi="宋体" w:cs="宋体"/>
              </w:rPr>
              <w:t>说明</w:t>
            </w:r>
          </w:p>
        </w:tc>
        <w:tc>
          <w:tcPr>
            <w:tcW w:w="8823" w:type="dxa"/>
            <w:gridSpan w:val="2"/>
          </w:tcPr>
          <w:p w14:paraId="44E75692">
            <w:pPr>
              <w:pStyle w:val="25"/>
              <w:spacing w:line="360" w:lineRule="auto"/>
              <w:rPr>
                <w:rFonts w:hint="default" w:ascii="宋体" w:hAnsi="宋体" w:cs="宋体"/>
                <w:lang w:eastAsia="zh-CN"/>
              </w:rPr>
            </w:pPr>
            <w:r>
              <w:rPr>
                <w:rFonts w:ascii="宋体" w:hAnsi="宋体" w:cs="宋体"/>
                <w:lang w:eastAsia="zh-CN"/>
              </w:rPr>
              <w:t xml:space="preserve"> 打“★”号条款为实质性条款，若有任何一条负偏离或不满足则导致投标无效。 </w:t>
            </w:r>
            <w:r>
              <w:rPr>
                <w:rFonts w:ascii="宋体" w:hAnsi="宋体" w:cs="宋体"/>
                <w:lang w:eastAsia="zh-CN"/>
              </w:rPr>
              <w:br w:type="textWrapping"/>
            </w:r>
            <w:r>
              <w:rPr>
                <w:rFonts w:ascii="宋体" w:hAnsi="宋体" w:cs="宋体"/>
                <w:lang w:eastAsia="zh-CN"/>
              </w:rPr>
              <w:t>打“▲”号条款为重要技术参数，若有部分“▲”条款未响应或不满足，将导致其响应性评审加重扣分，但不作为无效投标条款。</w:t>
            </w:r>
          </w:p>
        </w:tc>
      </w:tr>
    </w:tbl>
    <w:p w14:paraId="66760E75">
      <w:pPr>
        <w:ind w:firstLine="400" w:firstLineChars="200"/>
        <w:rPr>
          <w:rFonts w:ascii="宋体" w:hAnsi="宋体" w:cs="宋体"/>
          <w:kern w:val="0"/>
          <w:sz w:val="20"/>
          <w:szCs w:val="20"/>
        </w:rPr>
      </w:pPr>
    </w:p>
    <w:p w14:paraId="120C86D2">
      <w:pPr>
        <w:pStyle w:val="3"/>
        <w:ind w:firstLine="400"/>
        <w:rPr>
          <w:b w:val="0"/>
          <w:bCs w:val="0"/>
          <w:kern w:val="0"/>
          <w:sz w:val="20"/>
          <w:szCs w:val="20"/>
        </w:rPr>
      </w:pPr>
    </w:p>
    <w:p w14:paraId="5CA3C5CA">
      <w:pPr>
        <w:spacing w:line="360" w:lineRule="auto"/>
        <w:jc w:val="left"/>
        <w:outlineLvl w:val="1"/>
        <w:rPr>
          <w:rFonts w:ascii="宋体" w:hAnsi="宋体"/>
          <w:b/>
          <w:sz w:val="24"/>
        </w:rPr>
      </w:pPr>
      <w:r>
        <w:rPr>
          <w:rFonts w:hint="eastAsia" w:ascii="宋体" w:hAnsi="宋体"/>
          <w:b/>
          <w:sz w:val="24"/>
        </w:rPr>
        <w:t>采购包2（婴儿培养箱采购项目）</w:t>
      </w:r>
    </w:p>
    <w:p w14:paraId="084C5BF2">
      <w:pPr>
        <w:spacing w:line="360" w:lineRule="auto"/>
        <w:jc w:val="left"/>
        <w:outlineLvl w:val="1"/>
        <w:rPr>
          <w:rFonts w:ascii="宋体" w:hAnsi="宋体"/>
          <w:b/>
          <w:sz w:val="24"/>
        </w:rPr>
      </w:pPr>
      <w:r>
        <w:rPr>
          <w:rFonts w:hint="eastAsia" w:ascii="宋体" w:hAnsi="宋体"/>
          <w:b/>
          <w:sz w:val="24"/>
        </w:rPr>
        <w:t>1.主要商务要求</w:t>
      </w:r>
    </w:p>
    <w:tbl>
      <w:tblPr>
        <w:tblStyle w:val="20"/>
        <w:tblW w:w="874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694"/>
        <w:gridCol w:w="6052"/>
      </w:tblGrid>
      <w:tr w14:paraId="27B93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2" w:hRule="atLeast"/>
          <w:jc w:val="center"/>
        </w:trPr>
        <w:tc>
          <w:tcPr>
            <w:tcW w:w="2694" w:type="dxa"/>
            <w:vAlign w:val="center"/>
          </w:tcPr>
          <w:p w14:paraId="1BEC6A0E">
            <w:pPr>
              <w:spacing w:line="360" w:lineRule="auto"/>
              <w:jc w:val="center"/>
              <w:rPr>
                <w:rFonts w:ascii="宋体" w:hAnsi="宋体" w:cs="宋体"/>
                <w:sz w:val="20"/>
                <w:szCs w:val="20"/>
              </w:rPr>
            </w:pPr>
            <w:r>
              <w:rPr>
                <w:rFonts w:hint="eastAsia" w:ascii="宋体" w:hAnsi="宋体" w:cs="宋体"/>
                <w:sz w:val="20"/>
                <w:szCs w:val="20"/>
              </w:rPr>
              <w:t>标的提供的时间</w:t>
            </w:r>
          </w:p>
        </w:tc>
        <w:tc>
          <w:tcPr>
            <w:tcW w:w="6052" w:type="dxa"/>
            <w:vAlign w:val="center"/>
          </w:tcPr>
          <w:p w14:paraId="47F4C76A">
            <w:pPr>
              <w:spacing w:line="360" w:lineRule="auto"/>
              <w:rPr>
                <w:rFonts w:ascii="宋体" w:hAnsi="宋体" w:cs="宋体"/>
                <w:sz w:val="20"/>
                <w:szCs w:val="20"/>
              </w:rPr>
            </w:pPr>
            <w:r>
              <w:rPr>
                <w:rFonts w:hint="eastAsia" w:ascii="宋体" w:hAnsi="宋体" w:cs="宋体"/>
                <w:sz w:val="20"/>
                <w:szCs w:val="20"/>
              </w:rPr>
              <w:t>自合同签订之日起，到货时间≤30天；如采购人有特殊需求，另行协商。</w:t>
            </w:r>
          </w:p>
        </w:tc>
      </w:tr>
      <w:tr w14:paraId="16DAD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6" w:hRule="atLeast"/>
          <w:jc w:val="center"/>
        </w:trPr>
        <w:tc>
          <w:tcPr>
            <w:tcW w:w="2694" w:type="dxa"/>
            <w:vAlign w:val="center"/>
          </w:tcPr>
          <w:p w14:paraId="0F2B0D6B">
            <w:pPr>
              <w:spacing w:line="360" w:lineRule="auto"/>
              <w:jc w:val="center"/>
              <w:rPr>
                <w:rFonts w:ascii="宋体" w:hAnsi="宋体" w:cs="宋体"/>
                <w:sz w:val="20"/>
                <w:szCs w:val="20"/>
              </w:rPr>
            </w:pPr>
            <w:r>
              <w:rPr>
                <w:rFonts w:hint="eastAsia" w:ascii="宋体" w:hAnsi="宋体" w:cs="宋体"/>
                <w:sz w:val="20"/>
                <w:szCs w:val="20"/>
              </w:rPr>
              <w:t>标的提供的地点</w:t>
            </w:r>
          </w:p>
        </w:tc>
        <w:tc>
          <w:tcPr>
            <w:tcW w:w="6052" w:type="dxa"/>
            <w:vAlign w:val="center"/>
          </w:tcPr>
          <w:p w14:paraId="55A884F7">
            <w:pPr>
              <w:spacing w:line="360" w:lineRule="auto"/>
              <w:rPr>
                <w:rFonts w:ascii="宋体" w:hAnsi="宋体" w:cs="宋体"/>
                <w:sz w:val="20"/>
                <w:szCs w:val="20"/>
              </w:rPr>
            </w:pPr>
            <w:r>
              <w:rPr>
                <w:rFonts w:hint="eastAsia" w:ascii="宋体" w:hAnsi="宋体" w:cs="宋体"/>
                <w:sz w:val="20"/>
                <w:szCs w:val="20"/>
              </w:rPr>
              <w:t>采购人指定地点。</w:t>
            </w:r>
          </w:p>
        </w:tc>
      </w:tr>
      <w:tr w14:paraId="49DF0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9" w:hRule="atLeast"/>
          <w:jc w:val="center"/>
        </w:trPr>
        <w:tc>
          <w:tcPr>
            <w:tcW w:w="2694" w:type="dxa"/>
            <w:vAlign w:val="center"/>
          </w:tcPr>
          <w:p w14:paraId="687EBDBF">
            <w:pPr>
              <w:spacing w:line="360" w:lineRule="auto"/>
              <w:jc w:val="center"/>
              <w:rPr>
                <w:rFonts w:ascii="宋体" w:hAnsi="宋体" w:cs="宋体"/>
                <w:sz w:val="20"/>
                <w:szCs w:val="20"/>
              </w:rPr>
            </w:pPr>
            <w:r>
              <w:rPr>
                <w:rFonts w:hint="eastAsia" w:ascii="宋体" w:hAnsi="宋体" w:cs="宋体"/>
                <w:sz w:val="20"/>
                <w:szCs w:val="20"/>
              </w:rPr>
              <w:t>付款方式</w:t>
            </w:r>
          </w:p>
        </w:tc>
        <w:tc>
          <w:tcPr>
            <w:tcW w:w="6052" w:type="dxa"/>
            <w:vAlign w:val="center"/>
          </w:tcPr>
          <w:p w14:paraId="287CB41D">
            <w:pPr>
              <w:pStyle w:val="25"/>
              <w:spacing w:line="360" w:lineRule="auto"/>
              <w:jc w:val="both"/>
              <w:rPr>
                <w:rFonts w:hint="default" w:ascii="宋体" w:hAnsi="宋体" w:cs="宋体"/>
                <w:spacing w:val="10"/>
                <w:kern w:val="2"/>
                <w:lang w:eastAsia="zh-CN"/>
              </w:rPr>
            </w:pPr>
            <w:r>
              <w:rPr>
                <w:rFonts w:ascii="宋体" w:hAnsi="宋体" w:cs="宋体"/>
                <w:spacing w:val="10"/>
                <w:kern w:val="2"/>
                <w:lang w:eastAsia="zh-CN"/>
              </w:rPr>
              <w:t>（1）合同签订后，全部货物到现场完成安装、调试后安排验收，经验收合格且中标人向采购人提供合法有效的税务发票后三个月内采购人向中标人支付合同总价的100%。中小企业按相关文件规定付款。</w:t>
            </w:r>
          </w:p>
          <w:p w14:paraId="3AE92E19">
            <w:pPr>
              <w:pStyle w:val="25"/>
              <w:spacing w:line="360" w:lineRule="auto"/>
              <w:jc w:val="both"/>
              <w:rPr>
                <w:rFonts w:hint="default" w:ascii="宋体" w:hAnsi="宋体" w:cs="宋体"/>
                <w:spacing w:val="10"/>
                <w:kern w:val="2"/>
                <w:lang w:eastAsia="zh-CN"/>
              </w:rPr>
            </w:pPr>
            <w:r>
              <w:rPr>
                <w:rFonts w:ascii="宋体" w:hAnsi="宋体" w:cs="宋体"/>
                <w:spacing w:val="10"/>
                <w:kern w:val="2"/>
                <w:lang w:eastAsia="zh-CN"/>
              </w:rPr>
              <w:t>（2）若成交供应商属中小企业（响应时需提供《中小企业声明函》，则按照《广东省政府采购促进中小企业发展实施细则》的要求进行支付。</w:t>
            </w:r>
          </w:p>
          <w:p w14:paraId="45BDE54C">
            <w:pPr>
              <w:pStyle w:val="25"/>
              <w:spacing w:line="360" w:lineRule="auto"/>
              <w:jc w:val="both"/>
              <w:rPr>
                <w:rFonts w:hint="default" w:ascii="宋体" w:hAnsi="宋体" w:cs="宋体"/>
                <w:kern w:val="2"/>
                <w:sz w:val="24"/>
                <w:szCs w:val="24"/>
                <w:lang w:eastAsia="zh-CN"/>
              </w:rPr>
            </w:pPr>
            <w:r>
              <w:rPr>
                <w:rFonts w:ascii="宋体" w:hAnsi="宋体" w:cs="宋体"/>
                <w:spacing w:val="10"/>
                <w:kern w:val="2"/>
                <w:lang w:eastAsia="zh-CN"/>
              </w:rPr>
              <w:t>（3）以上付款时间指以中标人提供合法合规发票为前提，如因中标人发票未按期提供或发票不合规等原因，采购人有权延期付款，由中标人承担由此造成的一切损失。</w:t>
            </w:r>
          </w:p>
        </w:tc>
      </w:tr>
      <w:tr w14:paraId="6A8A3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2694" w:type="dxa"/>
            <w:vAlign w:val="center"/>
          </w:tcPr>
          <w:p w14:paraId="56832E4B">
            <w:pPr>
              <w:spacing w:line="360" w:lineRule="auto"/>
              <w:jc w:val="center"/>
              <w:rPr>
                <w:rFonts w:ascii="宋体" w:hAnsi="宋体" w:cs="宋体"/>
                <w:sz w:val="20"/>
                <w:szCs w:val="20"/>
              </w:rPr>
            </w:pPr>
            <w:r>
              <w:rPr>
                <w:rFonts w:hint="eastAsia" w:ascii="宋体" w:hAnsi="宋体" w:cs="宋体"/>
                <w:sz w:val="20"/>
                <w:szCs w:val="20"/>
              </w:rPr>
              <w:t>验收要求</w:t>
            </w:r>
          </w:p>
        </w:tc>
        <w:tc>
          <w:tcPr>
            <w:tcW w:w="6052" w:type="dxa"/>
            <w:vAlign w:val="center"/>
          </w:tcPr>
          <w:p w14:paraId="1BC67F5D">
            <w:pPr>
              <w:pStyle w:val="26"/>
              <w:numPr>
                <w:ilvl w:val="255"/>
                <w:numId w:val="0"/>
              </w:numPr>
              <w:spacing w:line="360" w:lineRule="auto"/>
              <w:rPr>
                <w:rFonts w:ascii="宋体" w:hAnsi="宋体" w:cs="宋体"/>
                <w:b w:val="0"/>
                <w:bCs w:val="0"/>
                <w:sz w:val="20"/>
                <w:szCs w:val="20"/>
              </w:rPr>
            </w:pPr>
            <w:r>
              <w:rPr>
                <w:rFonts w:hint="eastAsia" w:ascii="宋体" w:hAnsi="宋体" w:cs="宋体"/>
                <w:b w:val="0"/>
                <w:bCs w:val="0"/>
                <w:sz w:val="20"/>
                <w:szCs w:val="20"/>
              </w:rPr>
              <w:t>（1）要求设备质量合格：符合国家、行业等有关标准，符合招标文件、投标文件及设备生产厂家公开的宣传资料和生产厂商官方网站宣传内容的标准要求。</w:t>
            </w:r>
          </w:p>
          <w:p w14:paraId="0238509C">
            <w:pPr>
              <w:pStyle w:val="26"/>
              <w:numPr>
                <w:ilvl w:val="255"/>
                <w:numId w:val="0"/>
              </w:numPr>
              <w:spacing w:line="360" w:lineRule="auto"/>
              <w:rPr>
                <w:rFonts w:ascii="宋体" w:hAnsi="宋体" w:cs="宋体"/>
                <w:b w:val="0"/>
                <w:bCs w:val="0"/>
                <w:sz w:val="20"/>
                <w:szCs w:val="20"/>
              </w:rPr>
            </w:pPr>
            <w:r>
              <w:rPr>
                <w:rFonts w:hint="eastAsia" w:ascii="宋体" w:hAnsi="宋体" w:cs="宋体"/>
                <w:b w:val="0"/>
                <w:bCs w:val="0"/>
                <w:sz w:val="20"/>
                <w:szCs w:val="20"/>
              </w:rPr>
              <w:t>（2）要求单据齐全：包括合格证、使用说明、保修证明（厂家盖章的保修文件等）、及其他应具有的单证，如进口设备还需提供合法的报关单、完税凭证、商检证明等资料。</w:t>
            </w:r>
          </w:p>
          <w:p w14:paraId="3E286F08">
            <w:pPr>
              <w:pStyle w:val="26"/>
              <w:numPr>
                <w:ilvl w:val="255"/>
                <w:numId w:val="0"/>
              </w:numPr>
              <w:spacing w:line="360" w:lineRule="auto"/>
              <w:rPr>
                <w:rFonts w:ascii="宋体" w:hAnsi="宋体" w:cs="宋体"/>
                <w:b w:val="0"/>
                <w:bCs w:val="0"/>
                <w:sz w:val="20"/>
                <w:szCs w:val="20"/>
              </w:rPr>
            </w:pPr>
            <w:r>
              <w:rPr>
                <w:rFonts w:hint="eastAsia" w:ascii="宋体" w:hAnsi="宋体" w:cs="宋体"/>
                <w:b w:val="0"/>
                <w:bCs w:val="0"/>
                <w:sz w:val="20"/>
                <w:szCs w:val="20"/>
              </w:rPr>
              <w:t xml:space="preserve">（3）仪器设备运抵安装现场后，采购人将与中标人共同开箱验收，如中标人届时不指派人员参与，则验收结果应以采购人的验收报告为最终验收结果。验收时发现短缺、破损，采购人有权要求中标人负责更换。 </w:t>
            </w:r>
          </w:p>
          <w:p w14:paraId="416C122D">
            <w:pPr>
              <w:pStyle w:val="26"/>
              <w:numPr>
                <w:ilvl w:val="255"/>
                <w:numId w:val="0"/>
              </w:numPr>
              <w:spacing w:line="360" w:lineRule="auto"/>
              <w:rPr>
                <w:rFonts w:ascii="宋体" w:hAnsi="宋体" w:cs="宋体"/>
                <w:b w:val="0"/>
                <w:bCs w:val="0"/>
                <w:sz w:val="20"/>
                <w:szCs w:val="20"/>
              </w:rPr>
            </w:pPr>
            <w:r>
              <w:rPr>
                <w:rFonts w:hint="eastAsia" w:ascii="宋体" w:hAnsi="宋体" w:cs="宋体"/>
                <w:b w:val="0"/>
                <w:bCs w:val="0"/>
                <w:sz w:val="20"/>
                <w:szCs w:val="20"/>
              </w:rPr>
              <w:t>（4）计量校准：按照国家、省市相关规范及行业相关标准要求，如需进行计量校准（包括强制检定器具、以及非强制检定器具，检定依据《中华人民共和国计量法》及其实施细则等法律法规执行）的设备及附属设施，需由第三方专业机构进行计量校准及相关检测，检测合格后方可验收。</w:t>
            </w:r>
          </w:p>
          <w:p w14:paraId="0343EF1B">
            <w:pPr>
              <w:pStyle w:val="26"/>
              <w:numPr>
                <w:ilvl w:val="255"/>
                <w:numId w:val="0"/>
              </w:numPr>
              <w:spacing w:line="360" w:lineRule="auto"/>
              <w:rPr>
                <w:rFonts w:ascii="宋体" w:hAnsi="宋体" w:cs="宋体"/>
                <w:b w:val="0"/>
                <w:bCs w:val="0"/>
                <w:sz w:val="20"/>
                <w:szCs w:val="20"/>
              </w:rPr>
            </w:pPr>
            <w:r>
              <w:rPr>
                <w:rFonts w:hint="eastAsia" w:ascii="宋体" w:hAnsi="宋体" w:cs="宋体"/>
                <w:b w:val="0"/>
                <w:bCs w:val="0"/>
                <w:sz w:val="20"/>
                <w:szCs w:val="20"/>
              </w:rPr>
              <w:t>（5）验收标准以中标人的投标文件中所列的指标为准（该指标应不低于招标文件所要求的指标）。验收时如发现中标人在投标时存在虚假指标响应情况，采购人将取消合同并依法追究中标人的责任，中标人必须承担由此给采购人带来的一切经济损失。</w:t>
            </w:r>
          </w:p>
          <w:p w14:paraId="031C9F33">
            <w:pPr>
              <w:pStyle w:val="26"/>
              <w:numPr>
                <w:ilvl w:val="255"/>
                <w:numId w:val="0"/>
              </w:numPr>
              <w:spacing w:line="360" w:lineRule="auto"/>
              <w:rPr>
                <w:rFonts w:ascii="宋体" w:hAnsi="宋体" w:cs="宋体"/>
                <w:b w:val="0"/>
                <w:bCs w:val="0"/>
                <w:sz w:val="20"/>
                <w:szCs w:val="20"/>
              </w:rPr>
            </w:pPr>
            <w:r>
              <w:rPr>
                <w:rFonts w:hint="eastAsia" w:ascii="宋体" w:hAnsi="宋体" w:cs="宋体"/>
                <w:b w:val="0"/>
                <w:bCs w:val="0"/>
                <w:sz w:val="20"/>
                <w:szCs w:val="20"/>
              </w:rPr>
              <w:t>（6）验收由采购人、中标人及相关人员依据国家有关标准、投标文件、合同及有关附件要求进行，验收完毕由采购人代表及中标人代表在验收报告上签字。</w:t>
            </w:r>
          </w:p>
          <w:p w14:paraId="5DF6EBAC">
            <w:pPr>
              <w:pStyle w:val="26"/>
              <w:numPr>
                <w:ilvl w:val="255"/>
                <w:numId w:val="0"/>
              </w:numPr>
              <w:spacing w:line="360" w:lineRule="auto"/>
              <w:rPr>
                <w:rFonts w:ascii="宋体" w:hAnsi="宋体" w:cs="宋体"/>
                <w:b w:val="0"/>
                <w:bCs w:val="0"/>
                <w:sz w:val="20"/>
                <w:szCs w:val="20"/>
              </w:rPr>
            </w:pPr>
            <w:r>
              <w:rPr>
                <w:rFonts w:hint="eastAsia" w:ascii="宋体" w:hAnsi="宋体" w:cs="宋体"/>
                <w:b w:val="0"/>
                <w:bCs w:val="0"/>
                <w:sz w:val="20"/>
                <w:szCs w:val="20"/>
              </w:rPr>
              <w:t>（7）验收时间：中标人按照采购人要求，将设备在指定地点安装、调试、培训至正常使用后，由中标人提出书面验收申请，采购人于接到验收申请后</w:t>
            </w:r>
            <w:r>
              <w:rPr>
                <w:rFonts w:hint="eastAsia" w:ascii="宋体" w:hAnsi="宋体" w:cs="宋体"/>
                <w:b w:val="0"/>
                <w:bCs w:val="0"/>
                <w:sz w:val="20"/>
                <w:szCs w:val="20"/>
                <w:u w:val="single"/>
              </w:rPr>
              <w:t>一个月</w:t>
            </w:r>
            <w:r>
              <w:rPr>
                <w:rFonts w:hint="eastAsia" w:ascii="宋体" w:hAnsi="宋体" w:cs="宋体"/>
                <w:b w:val="0"/>
                <w:bCs w:val="0"/>
                <w:sz w:val="20"/>
                <w:szCs w:val="20"/>
              </w:rPr>
              <w:t>内组织验收。</w:t>
            </w:r>
          </w:p>
        </w:tc>
      </w:tr>
      <w:tr w14:paraId="787FF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jc w:val="center"/>
        </w:trPr>
        <w:tc>
          <w:tcPr>
            <w:tcW w:w="2694" w:type="dxa"/>
            <w:vAlign w:val="center"/>
          </w:tcPr>
          <w:p w14:paraId="5C41832E">
            <w:pPr>
              <w:spacing w:line="360" w:lineRule="auto"/>
              <w:jc w:val="center"/>
              <w:rPr>
                <w:rFonts w:ascii="宋体" w:hAnsi="宋体" w:cs="宋体"/>
                <w:sz w:val="20"/>
                <w:szCs w:val="20"/>
              </w:rPr>
            </w:pPr>
            <w:r>
              <w:rPr>
                <w:rFonts w:hint="eastAsia" w:ascii="宋体" w:hAnsi="宋体" w:cs="宋体"/>
                <w:sz w:val="20"/>
                <w:szCs w:val="20"/>
              </w:rPr>
              <w:t>履约保证金</w:t>
            </w:r>
          </w:p>
        </w:tc>
        <w:tc>
          <w:tcPr>
            <w:tcW w:w="6052" w:type="dxa"/>
            <w:vAlign w:val="center"/>
          </w:tcPr>
          <w:p w14:paraId="452583FD">
            <w:pPr>
              <w:spacing w:line="360" w:lineRule="auto"/>
              <w:rPr>
                <w:rFonts w:ascii="宋体" w:hAnsi="宋体" w:cs="宋体"/>
                <w:sz w:val="20"/>
                <w:szCs w:val="20"/>
              </w:rPr>
            </w:pPr>
            <w:r>
              <w:rPr>
                <w:rFonts w:hint="eastAsia" w:ascii="宋体" w:hAnsi="宋体" w:cs="宋体"/>
                <w:sz w:val="20"/>
                <w:szCs w:val="20"/>
              </w:rPr>
              <w:t>不收取</w:t>
            </w:r>
          </w:p>
        </w:tc>
      </w:tr>
      <w:tr w14:paraId="3B43C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jc w:val="center"/>
        </w:trPr>
        <w:tc>
          <w:tcPr>
            <w:tcW w:w="2694" w:type="dxa"/>
            <w:vAlign w:val="center"/>
          </w:tcPr>
          <w:p w14:paraId="62F44215">
            <w:pPr>
              <w:spacing w:line="360" w:lineRule="auto"/>
              <w:jc w:val="center"/>
              <w:rPr>
                <w:rFonts w:ascii="宋体" w:hAnsi="宋体" w:cs="宋体"/>
                <w:sz w:val="20"/>
                <w:szCs w:val="20"/>
              </w:rPr>
            </w:pPr>
            <w:r>
              <w:rPr>
                <w:rFonts w:hint="eastAsia" w:ascii="宋体" w:hAnsi="宋体" w:cs="宋体"/>
                <w:sz w:val="20"/>
                <w:szCs w:val="20"/>
              </w:rPr>
              <w:t>其他</w:t>
            </w:r>
          </w:p>
        </w:tc>
        <w:tc>
          <w:tcPr>
            <w:tcW w:w="6052" w:type="dxa"/>
            <w:vAlign w:val="center"/>
          </w:tcPr>
          <w:p w14:paraId="59E2341B">
            <w:pPr>
              <w:spacing w:line="360" w:lineRule="auto"/>
              <w:rPr>
                <w:rFonts w:ascii="宋体" w:hAnsi="宋体" w:cs="宋体"/>
                <w:sz w:val="20"/>
                <w:szCs w:val="20"/>
              </w:rPr>
            </w:pPr>
          </w:p>
        </w:tc>
      </w:tr>
    </w:tbl>
    <w:p w14:paraId="45303B60">
      <w:pPr>
        <w:pStyle w:val="25"/>
        <w:spacing w:line="360" w:lineRule="auto"/>
        <w:rPr>
          <w:rFonts w:hint="default" w:ascii="宋体" w:hAnsi="宋体"/>
          <w:b/>
          <w:sz w:val="24"/>
          <w:szCs w:val="24"/>
          <w:lang w:eastAsia="zh-CN"/>
        </w:rPr>
      </w:pPr>
    </w:p>
    <w:p w14:paraId="55E7D0F0">
      <w:pPr>
        <w:pStyle w:val="25"/>
        <w:spacing w:line="360" w:lineRule="auto"/>
        <w:rPr>
          <w:rFonts w:hint="default" w:ascii="宋体" w:hAnsi="宋体"/>
          <w:b/>
          <w:sz w:val="24"/>
          <w:szCs w:val="24"/>
          <w:lang w:eastAsia="zh-CN"/>
        </w:rPr>
      </w:pPr>
      <w:r>
        <w:rPr>
          <w:rFonts w:ascii="宋体" w:hAnsi="宋体"/>
          <w:b/>
          <w:sz w:val="24"/>
          <w:szCs w:val="24"/>
          <w:lang w:eastAsia="zh-CN"/>
        </w:rPr>
        <w:t>其他商务需求</w:t>
      </w:r>
    </w:p>
    <w:tbl>
      <w:tblPr>
        <w:tblStyle w:val="20"/>
        <w:tblW w:w="886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94"/>
        <w:gridCol w:w="1245"/>
        <w:gridCol w:w="330"/>
        <w:gridCol w:w="1155"/>
        <w:gridCol w:w="4937"/>
      </w:tblGrid>
      <w:tr w14:paraId="12233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10E4A565">
            <w:pPr>
              <w:pStyle w:val="25"/>
              <w:spacing w:line="360" w:lineRule="auto"/>
              <w:jc w:val="center"/>
              <w:rPr>
                <w:rFonts w:hint="default"/>
              </w:rPr>
            </w:pPr>
            <w:r>
              <w:t>参数性质</w:t>
            </w:r>
          </w:p>
        </w:tc>
        <w:tc>
          <w:tcPr>
            <w:tcW w:w="1245" w:type="dxa"/>
            <w:vAlign w:val="center"/>
          </w:tcPr>
          <w:p w14:paraId="2F5A6EF1">
            <w:pPr>
              <w:pStyle w:val="25"/>
              <w:spacing w:line="360" w:lineRule="auto"/>
              <w:jc w:val="center"/>
              <w:rPr>
                <w:rFonts w:hint="default"/>
              </w:rPr>
            </w:pPr>
            <w:r>
              <w:t>编号</w:t>
            </w:r>
          </w:p>
        </w:tc>
        <w:tc>
          <w:tcPr>
            <w:tcW w:w="1485" w:type="dxa"/>
            <w:gridSpan w:val="2"/>
            <w:vAlign w:val="center"/>
          </w:tcPr>
          <w:p w14:paraId="613A65F5">
            <w:pPr>
              <w:pStyle w:val="25"/>
              <w:spacing w:line="360" w:lineRule="auto"/>
              <w:jc w:val="center"/>
              <w:rPr>
                <w:rFonts w:hint="default"/>
              </w:rPr>
            </w:pPr>
            <w:r>
              <w:t>内容明细</w:t>
            </w:r>
          </w:p>
        </w:tc>
        <w:tc>
          <w:tcPr>
            <w:tcW w:w="4937" w:type="dxa"/>
          </w:tcPr>
          <w:p w14:paraId="248E5C1E">
            <w:pPr>
              <w:pStyle w:val="25"/>
              <w:spacing w:line="360" w:lineRule="auto"/>
              <w:jc w:val="center"/>
              <w:rPr>
                <w:rFonts w:hint="default"/>
              </w:rPr>
            </w:pPr>
            <w:r>
              <w:t>内容说明</w:t>
            </w:r>
          </w:p>
        </w:tc>
      </w:tr>
      <w:tr w14:paraId="790B8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190EEA48">
            <w:pPr>
              <w:spacing w:line="360" w:lineRule="auto"/>
              <w:jc w:val="center"/>
              <w:rPr>
                <w:sz w:val="20"/>
                <w:szCs w:val="20"/>
              </w:rPr>
            </w:pPr>
          </w:p>
        </w:tc>
        <w:tc>
          <w:tcPr>
            <w:tcW w:w="1245" w:type="dxa"/>
            <w:vAlign w:val="center"/>
          </w:tcPr>
          <w:p w14:paraId="34670CD1">
            <w:pPr>
              <w:pStyle w:val="25"/>
              <w:spacing w:line="360" w:lineRule="auto"/>
              <w:jc w:val="center"/>
              <w:rPr>
                <w:rFonts w:hint="default"/>
              </w:rPr>
            </w:pPr>
            <w:r>
              <w:t>1</w:t>
            </w:r>
          </w:p>
        </w:tc>
        <w:tc>
          <w:tcPr>
            <w:tcW w:w="1485" w:type="dxa"/>
            <w:gridSpan w:val="2"/>
            <w:vAlign w:val="center"/>
          </w:tcPr>
          <w:p w14:paraId="15069AFC">
            <w:pPr>
              <w:pStyle w:val="25"/>
              <w:spacing w:line="360" w:lineRule="auto"/>
              <w:jc w:val="center"/>
              <w:rPr>
                <w:rFonts w:hint="default"/>
                <w:highlight w:val="none"/>
              </w:rPr>
            </w:pPr>
            <w:r>
              <w:rPr>
                <w:highlight w:val="none"/>
              </w:rPr>
              <w:t>报价要求</w:t>
            </w:r>
          </w:p>
        </w:tc>
        <w:tc>
          <w:tcPr>
            <w:tcW w:w="4937" w:type="dxa"/>
          </w:tcPr>
          <w:p w14:paraId="64DE0B1E">
            <w:pPr>
              <w:pStyle w:val="25"/>
              <w:spacing w:line="360" w:lineRule="auto"/>
              <w:rPr>
                <w:rFonts w:hint="default"/>
                <w:highlight w:val="none"/>
              </w:rPr>
            </w:pPr>
            <w:r>
              <w:rPr>
                <w:rFonts w:ascii="宋体" w:hAnsi="宋体" w:cs="宋体"/>
                <w:highlight w:val="none"/>
                <w:lang w:eastAsia="zh-CN"/>
              </w:rPr>
              <w:t>本项目采用总价报价形式，投标报价不得高于最高限价，报价高于最高限价按投标无效处理。</w:t>
            </w:r>
            <w:r>
              <w:rPr>
                <w:rFonts w:hint="default"/>
                <w:highlight w:val="none"/>
                <w:lang w:eastAsia="zh-CN"/>
              </w:rPr>
              <w:t>价格构成。</w:t>
            </w:r>
            <w:r>
              <w:rPr>
                <w:rFonts w:ascii="宋体" w:hAnsi="宋体" w:cs="宋体"/>
                <w:highlight w:val="none"/>
                <w:lang w:eastAsia="zh-CN"/>
              </w:rPr>
              <w:t>投标人报价应包含设备费、包装费、仓储费、运输费、保险费、卸货费、安装调试费、培训费、保修期服务费、商检费、税费以及合同实施过程中所有风险、责任和其他不可预见费用等。</w:t>
            </w:r>
          </w:p>
        </w:tc>
      </w:tr>
      <w:tr w14:paraId="028D3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3A1072C9">
            <w:pPr>
              <w:spacing w:line="360" w:lineRule="auto"/>
              <w:jc w:val="center"/>
              <w:rPr>
                <w:sz w:val="20"/>
                <w:szCs w:val="20"/>
              </w:rPr>
            </w:pPr>
            <w:r>
              <w:rPr>
                <w:sz w:val="20"/>
                <w:szCs w:val="20"/>
              </w:rPr>
              <w:t>★</w:t>
            </w:r>
          </w:p>
        </w:tc>
        <w:tc>
          <w:tcPr>
            <w:tcW w:w="1245" w:type="dxa"/>
            <w:vAlign w:val="center"/>
          </w:tcPr>
          <w:p w14:paraId="6B1EA2F6">
            <w:pPr>
              <w:pStyle w:val="25"/>
              <w:spacing w:line="360" w:lineRule="auto"/>
              <w:jc w:val="center"/>
              <w:rPr>
                <w:rFonts w:hint="default"/>
                <w:lang w:eastAsia="zh-CN"/>
              </w:rPr>
            </w:pPr>
            <w:r>
              <w:rPr>
                <w:lang w:eastAsia="zh-CN"/>
              </w:rPr>
              <w:t>2</w:t>
            </w:r>
          </w:p>
        </w:tc>
        <w:tc>
          <w:tcPr>
            <w:tcW w:w="1485" w:type="dxa"/>
            <w:gridSpan w:val="2"/>
            <w:vAlign w:val="center"/>
          </w:tcPr>
          <w:p w14:paraId="48DF318B">
            <w:pPr>
              <w:pStyle w:val="25"/>
              <w:spacing w:line="360" w:lineRule="auto"/>
              <w:jc w:val="center"/>
              <w:rPr>
                <w:rFonts w:hint="default"/>
              </w:rPr>
            </w:pPr>
            <w:r>
              <w:t>供货要求</w:t>
            </w:r>
          </w:p>
        </w:tc>
        <w:tc>
          <w:tcPr>
            <w:tcW w:w="4937" w:type="dxa"/>
          </w:tcPr>
          <w:p w14:paraId="69D1A259">
            <w:pPr>
              <w:pStyle w:val="25"/>
              <w:spacing w:line="360" w:lineRule="auto"/>
              <w:jc w:val="both"/>
              <w:rPr>
                <w:rFonts w:hint="default"/>
                <w:lang w:eastAsia="zh-CN"/>
              </w:rPr>
            </w:pPr>
            <w:r>
              <w:rPr>
                <w:lang w:eastAsia="zh-CN"/>
              </w:rPr>
              <w:t>（1）权利保证：中标人应保证出卖给采购人的产品或产品任何部分非他人所有或与他人共有，未设有抵押权、租赁权，未侵犯他人的专利权、版权、商标权等知识产权。一旦出现侵权，中标人应承担全部责任，包括采购人受到的损失以及维护自身权益而产生的支出（如：律师费、诉讼费等）。</w:t>
            </w:r>
          </w:p>
          <w:p w14:paraId="5817BF5E">
            <w:pPr>
              <w:pStyle w:val="25"/>
              <w:spacing w:line="360" w:lineRule="auto"/>
              <w:jc w:val="both"/>
              <w:rPr>
                <w:rFonts w:hint="default"/>
                <w:lang w:eastAsia="zh-CN"/>
              </w:rPr>
            </w:pPr>
            <w:r>
              <w:rPr>
                <w:lang w:eastAsia="zh-CN"/>
              </w:rPr>
              <w:t>（2）供应的产品为原厂商未启封全新包装，序列号、包装箱号与出厂批号一致，并可追索查阅。</w:t>
            </w:r>
          </w:p>
        </w:tc>
      </w:tr>
      <w:tr w14:paraId="06E2E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08A568A2">
            <w:pPr>
              <w:spacing w:line="360" w:lineRule="auto"/>
              <w:jc w:val="center"/>
              <w:rPr>
                <w:sz w:val="20"/>
                <w:szCs w:val="20"/>
              </w:rPr>
            </w:pPr>
            <w:r>
              <w:rPr>
                <w:sz w:val="20"/>
                <w:szCs w:val="20"/>
              </w:rPr>
              <w:t>★</w:t>
            </w:r>
          </w:p>
        </w:tc>
        <w:tc>
          <w:tcPr>
            <w:tcW w:w="1245" w:type="dxa"/>
            <w:vAlign w:val="center"/>
          </w:tcPr>
          <w:p w14:paraId="3B8C34DC">
            <w:pPr>
              <w:pStyle w:val="25"/>
              <w:spacing w:line="360" w:lineRule="auto"/>
              <w:jc w:val="center"/>
              <w:rPr>
                <w:rFonts w:hint="default"/>
                <w:lang w:eastAsia="zh-CN"/>
              </w:rPr>
            </w:pPr>
            <w:r>
              <w:rPr>
                <w:lang w:eastAsia="zh-CN"/>
              </w:rPr>
              <w:t>3</w:t>
            </w:r>
          </w:p>
        </w:tc>
        <w:tc>
          <w:tcPr>
            <w:tcW w:w="1485" w:type="dxa"/>
            <w:gridSpan w:val="2"/>
            <w:vAlign w:val="center"/>
          </w:tcPr>
          <w:p w14:paraId="58A29A8E">
            <w:pPr>
              <w:pStyle w:val="25"/>
              <w:spacing w:line="360" w:lineRule="auto"/>
              <w:jc w:val="center"/>
              <w:rPr>
                <w:rFonts w:hint="default"/>
              </w:rPr>
            </w:pPr>
            <w:r>
              <w:rPr>
                <w:rFonts w:hint="default"/>
              </w:rPr>
              <w:t>保修要求</w:t>
            </w:r>
          </w:p>
        </w:tc>
        <w:tc>
          <w:tcPr>
            <w:tcW w:w="4937" w:type="dxa"/>
          </w:tcPr>
          <w:p w14:paraId="66CE7BC2">
            <w:pPr>
              <w:spacing w:line="400" w:lineRule="exact"/>
              <w:jc w:val="left"/>
              <w:rPr>
                <w:rFonts w:ascii="宋体" w:hAnsi="宋体" w:cs="宋体"/>
                <w:sz w:val="20"/>
                <w:szCs w:val="20"/>
              </w:rPr>
            </w:pPr>
            <w:r>
              <w:rPr>
                <w:rFonts w:hint="eastAsia" w:ascii="宋体" w:hAnsi="宋体" w:cs="宋体"/>
                <w:sz w:val="20"/>
                <w:szCs w:val="20"/>
              </w:rPr>
              <w:t>除耗材及易损件外，婴儿培养箱主机整机、称重装置等原厂设备保修≥</w:t>
            </w:r>
            <w:r>
              <w:rPr>
                <w:rFonts w:hint="eastAsia" w:ascii="宋体" w:hAnsi="宋体" w:cs="宋体"/>
                <w:sz w:val="20"/>
                <w:szCs w:val="20"/>
                <w:u w:val="single"/>
              </w:rPr>
              <w:t>3年</w:t>
            </w:r>
            <w:r>
              <w:rPr>
                <w:rFonts w:hint="eastAsia" w:ascii="宋体" w:hAnsi="宋体" w:cs="宋体"/>
                <w:sz w:val="20"/>
                <w:szCs w:val="20"/>
              </w:rPr>
              <w:t>（提供设备原厂盖章的保修函，如无法在投标阶段提供，则需在验收阶段提供，否则无法办理验收）；从产品验收合格之日起计算，在质保期内，一切原因引起的故障，中标人负责保修，如维修无法解决的，应更换新件，维修相关的所有费用由中标人承担。</w:t>
            </w:r>
          </w:p>
        </w:tc>
      </w:tr>
      <w:tr w14:paraId="41CD1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6ED8975C">
            <w:pPr>
              <w:spacing w:line="360" w:lineRule="auto"/>
              <w:jc w:val="center"/>
              <w:rPr>
                <w:sz w:val="20"/>
                <w:szCs w:val="20"/>
              </w:rPr>
            </w:pPr>
          </w:p>
        </w:tc>
        <w:tc>
          <w:tcPr>
            <w:tcW w:w="1245" w:type="dxa"/>
            <w:vAlign w:val="center"/>
          </w:tcPr>
          <w:p w14:paraId="3745F0B7">
            <w:pPr>
              <w:pStyle w:val="25"/>
              <w:spacing w:line="360" w:lineRule="auto"/>
              <w:jc w:val="center"/>
              <w:rPr>
                <w:rFonts w:hint="default"/>
                <w:lang w:eastAsia="zh-CN"/>
              </w:rPr>
            </w:pPr>
            <w:r>
              <w:rPr>
                <w:lang w:eastAsia="zh-CN"/>
              </w:rPr>
              <w:t>4</w:t>
            </w:r>
          </w:p>
        </w:tc>
        <w:tc>
          <w:tcPr>
            <w:tcW w:w="1485" w:type="dxa"/>
            <w:gridSpan w:val="2"/>
            <w:vAlign w:val="center"/>
          </w:tcPr>
          <w:p w14:paraId="7E46F959">
            <w:pPr>
              <w:pStyle w:val="25"/>
              <w:spacing w:line="360" w:lineRule="auto"/>
              <w:jc w:val="center"/>
              <w:rPr>
                <w:rFonts w:hint="default"/>
              </w:rPr>
            </w:pPr>
            <w:r>
              <w:t>维修服务</w:t>
            </w:r>
          </w:p>
        </w:tc>
        <w:tc>
          <w:tcPr>
            <w:tcW w:w="4937" w:type="dxa"/>
          </w:tcPr>
          <w:p w14:paraId="644D848E">
            <w:pPr>
              <w:spacing w:line="400" w:lineRule="exact"/>
              <w:jc w:val="left"/>
              <w:rPr>
                <w:rFonts w:ascii="宋体" w:hAnsi="宋体" w:cs="宋体"/>
                <w:sz w:val="20"/>
                <w:szCs w:val="20"/>
              </w:rPr>
            </w:pPr>
            <w:r>
              <w:rPr>
                <w:rFonts w:hint="eastAsia" w:ascii="宋体" w:hAnsi="宋体" w:cs="宋体"/>
                <w:sz w:val="20"/>
                <w:szCs w:val="20"/>
              </w:rPr>
              <w:t>保修期内，如设备出现故障,接到采购人报修电话后需立即响应，厂方工程师能通过电话方式指导排除问题，响应时间≤</w:t>
            </w:r>
            <w:r>
              <w:rPr>
                <w:rFonts w:hint="eastAsia" w:ascii="宋体" w:hAnsi="宋体" w:cs="宋体"/>
                <w:sz w:val="20"/>
                <w:szCs w:val="20"/>
                <w:u w:val="single"/>
              </w:rPr>
              <w:t>2小时</w:t>
            </w:r>
            <w:r>
              <w:rPr>
                <w:rFonts w:hint="eastAsia" w:ascii="宋体" w:hAnsi="宋体" w:cs="宋体"/>
                <w:sz w:val="20"/>
                <w:szCs w:val="20"/>
              </w:rPr>
              <w:t>；无法排除处理时，≤</w:t>
            </w:r>
            <w:r>
              <w:rPr>
                <w:rFonts w:hint="eastAsia" w:ascii="宋体" w:hAnsi="宋体" w:cs="宋体"/>
                <w:sz w:val="20"/>
                <w:szCs w:val="20"/>
                <w:u w:val="single"/>
              </w:rPr>
              <w:t>8小时</w:t>
            </w:r>
            <w:r>
              <w:rPr>
                <w:rFonts w:hint="eastAsia" w:ascii="宋体" w:hAnsi="宋体" w:cs="宋体"/>
                <w:sz w:val="20"/>
                <w:szCs w:val="20"/>
              </w:rPr>
              <w:t>内到达现场服务；如遇重大技术问题需及时组织各相关技术人员进行讨论，确定方案，并以最快的速度解决采购人的问题。</w:t>
            </w:r>
          </w:p>
        </w:tc>
      </w:tr>
      <w:tr w14:paraId="7B0CC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45858121">
            <w:pPr>
              <w:spacing w:line="360" w:lineRule="auto"/>
              <w:jc w:val="center"/>
            </w:pPr>
            <w:r>
              <w:rPr>
                <w:sz w:val="20"/>
                <w:szCs w:val="20"/>
              </w:rPr>
              <w:t>★</w:t>
            </w:r>
          </w:p>
        </w:tc>
        <w:tc>
          <w:tcPr>
            <w:tcW w:w="1245" w:type="dxa"/>
            <w:vAlign w:val="center"/>
          </w:tcPr>
          <w:p w14:paraId="6B11C11E">
            <w:pPr>
              <w:pStyle w:val="25"/>
              <w:spacing w:line="360" w:lineRule="auto"/>
              <w:jc w:val="center"/>
              <w:rPr>
                <w:rFonts w:hint="default"/>
                <w:lang w:eastAsia="zh-CN"/>
              </w:rPr>
            </w:pPr>
            <w:r>
              <w:rPr>
                <w:lang w:eastAsia="zh-CN"/>
              </w:rPr>
              <w:t>5</w:t>
            </w:r>
          </w:p>
        </w:tc>
        <w:tc>
          <w:tcPr>
            <w:tcW w:w="1485" w:type="dxa"/>
            <w:gridSpan w:val="2"/>
            <w:vAlign w:val="center"/>
          </w:tcPr>
          <w:p w14:paraId="553ABD02">
            <w:pPr>
              <w:pStyle w:val="25"/>
              <w:spacing w:line="360" w:lineRule="auto"/>
              <w:jc w:val="center"/>
              <w:rPr>
                <w:rFonts w:hint="default"/>
                <w:lang w:eastAsia="zh-CN"/>
              </w:rPr>
            </w:pPr>
            <w:r>
              <w:rPr>
                <w:rFonts w:hint="default"/>
                <w:lang w:eastAsia="zh-CN"/>
              </w:rPr>
              <w:t>保养服务</w:t>
            </w:r>
          </w:p>
        </w:tc>
        <w:tc>
          <w:tcPr>
            <w:tcW w:w="4937" w:type="dxa"/>
          </w:tcPr>
          <w:p w14:paraId="75AC03E5">
            <w:pPr>
              <w:spacing w:line="360" w:lineRule="auto"/>
              <w:rPr>
                <w:rFonts w:ascii="宋体" w:hAnsi="宋体" w:cs="宋体"/>
                <w:sz w:val="20"/>
                <w:szCs w:val="20"/>
              </w:rPr>
            </w:pPr>
            <w:r>
              <w:rPr>
                <w:rFonts w:hint="eastAsia" w:ascii="宋体" w:hAnsi="宋体" w:cs="宋体"/>
                <w:sz w:val="20"/>
                <w:szCs w:val="20"/>
              </w:rPr>
              <w:t>保修期内由具备设备原厂授权资质的技术人员上门，提供设备巡检、保养、质控服务，并提供完整的服务报告，频率≥</w:t>
            </w:r>
            <w:r>
              <w:rPr>
                <w:rFonts w:hint="eastAsia" w:ascii="宋体" w:hAnsi="宋体" w:cs="宋体"/>
                <w:sz w:val="20"/>
                <w:szCs w:val="20"/>
                <w:u w:val="single"/>
              </w:rPr>
              <w:t>2次/年</w:t>
            </w:r>
            <w:r>
              <w:rPr>
                <w:rFonts w:hint="eastAsia" w:ascii="宋体" w:hAnsi="宋体" w:cs="宋体"/>
                <w:sz w:val="20"/>
                <w:szCs w:val="20"/>
              </w:rPr>
              <w:t>，除耗材及易损件费用外，免收人工费、差旅费、配件费等其他费用。同时，须按照设备维护保养手册及相关规范要求，对设备执行预防性维修及维护保养，频率≥</w:t>
            </w:r>
            <w:r>
              <w:rPr>
                <w:rFonts w:hint="eastAsia" w:ascii="宋体" w:hAnsi="宋体" w:cs="宋体"/>
                <w:sz w:val="20"/>
                <w:szCs w:val="20"/>
                <w:u w:val="single"/>
              </w:rPr>
              <w:t>1次/年</w:t>
            </w:r>
            <w:r>
              <w:rPr>
                <w:rFonts w:hint="eastAsia" w:ascii="宋体" w:hAnsi="宋体" w:cs="宋体"/>
                <w:sz w:val="20"/>
                <w:szCs w:val="20"/>
              </w:rPr>
              <w:t>；维护保养内容包括但不限于相关保养套件更换、性能检测等，完成后出具书面报告，所更换的保养套件、维护相关材料等费用由中标人承担。</w:t>
            </w:r>
          </w:p>
        </w:tc>
      </w:tr>
      <w:tr w14:paraId="031D0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65B622CB">
            <w:pPr>
              <w:jc w:val="center"/>
            </w:pPr>
          </w:p>
        </w:tc>
        <w:tc>
          <w:tcPr>
            <w:tcW w:w="1245" w:type="dxa"/>
            <w:vAlign w:val="center"/>
          </w:tcPr>
          <w:p w14:paraId="2FE225C2">
            <w:pPr>
              <w:pStyle w:val="25"/>
              <w:jc w:val="center"/>
              <w:rPr>
                <w:rFonts w:hint="default"/>
                <w:lang w:eastAsia="zh-CN"/>
              </w:rPr>
            </w:pPr>
            <w:r>
              <w:rPr>
                <w:lang w:eastAsia="zh-CN"/>
              </w:rPr>
              <w:t>6</w:t>
            </w:r>
          </w:p>
        </w:tc>
        <w:tc>
          <w:tcPr>
            <w:tcW w:w="1485" w:type="dxa"/>
            <w:gridSpan w:val="2"/>
            <w:vAlign w:val="center"/>
          </w:tcPr>
          <w:p w14:paraId="2BB5D8E7">
            <w:pPr>
              <w:pStyle w:val="25"/>
              <w:jc w:val="center"/>
              <w:rPr>
                <w:rFonts w:hint="default"/>
                <w:lang w:eastAsia="zh-CN"/>
              </w:rPr>
            </w:pPr>
            <w:r>
              <w:rPr>
                <w:rFonts w:ascii="宋体" w:hAnsi="宋体" w:cs="宋体"/>
                <w:szCs w:val="22"/>
                <w:lang w:eastAsia="zh-CN"/>
              </w:rPr>
              <w:t>维修配件</w:t>
            </w:r>
          </w:p>
        </w:tc>
        <w:tc>
          <w:tcPr>
            <w:tcW w:w="4937" w:type="dxa"/>
          </w:tcPr>
          <w:p w14:paraId="0C07DC12">
            <w:pPr>
              <w:pStyle w:val="25"/>
              <w:rPr>
                <w:rFonts w:hint="default" w:ascii="宋体" w:hAnsi="宋体" w:cs="宋体"/>
                <w:szCs w:val="22"/>
                <w:lang w:eastAsia="zh-CN"/>
              </w:rPr>
            </w:pPr>
            <w:r>
              <w:rPr>
                <w:rFonts w:ascii="宋体" w:hAnsi="宋体" w:cs="宋体"/>
                <w:szCs w:val="22"/>
                <w:lang w:eastAsia="zh-CN"/>
              </w:rPr>
              <w:t>维修配件能够长期供应，厂家保证在设备停产后备件供应：</w:t>
            </w:r>
            <w:r>
              <w:rPr>
                <w:rFonts w:ascii="宋体" w:hAnsi="宋体" w:cs="宋体"/>
                <w:szCs w:val="22"/>
                <w:u w:val="single"/>
                <w:lang w:eastAsia="zh-CN"/>
              </w:rPr>
              <w:t>≥10年</w:t>
            </w:r>
            <w:r>
              <w:rPr>
                <w:rFonts w:ascii="宋体" w:hAnsi="宋体" w:cs="宋体"/>
                <w:szCs w:val="22"/>
                <w:lang w:eastAsia="zh-CN"/>
              </w:rPr>
              <w:t>。</w:t>
            </w:r>
          </w:p>
        </w:tc>
      </w:tr>
      <w:tr w14:paraId="4E5F9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6E2DFEBB">
            <w:pPr>
              <w:pStyle w:val="25"/>
              <w:jc w:val="center"/>
              <w:rPr>
                <w:rFonts w:hint="default"/>
              </w:rPr>
            </w:pPr>
          </w:p>
        </w:tc>
        <w:tc>
          <w:tcPr>
            <w:tcW w:w="1245" w:type="dxa"/>
            <w:vAlign w:val="center"/>
          </w:tcPr>
          <w:p w14:paraId="33F45186">
            <w:pPr>
              <w:pStyle w:val="25"/>
              <w:jc w:val="center"/>
              <w:rPr>
                <w:rFonts w:hint="default"/>
                <w:lang w:eastAsia="zh-CN"/>
              </w:rPr>
            </w:pPr>
            <w:r>
              <w:rPr>
                <w:lang w:eastAsia="zh-CN"/>
              </w:rPr>
              <w:t>7</w:t>
            </w:r>
          </w:p>
        </w:tc>
        <w:tc>
          <w:tcPr>
            <w:tcW w:w="1485" w:type="dxa"/>
            <w:gridSpan w:val="2"/>
            <w:vAlign w:val="center"/>
          </w:tcPr>
          <w:p w14:paraId="4BE15CA8">
            <w:pPr>
              <w:pStyle w:val="25"/>
              <w:jc w:val="center"/>
              <w:rPr>
                <w:rFonts w:hint="default"/>
                <w:lang w:eastAsia="zh-CN"/>
              </w:rPr>
            </w:pPr>
            <w:r>
              <w:rPr>
                <w:rFonts w:hint="default"/>
                <w:lang w:eastAsia="zh-CN"/>
              </w:rPr>
              <w:t>软件更新升级</w:t>
            </w:r>
          </w:p>
        </w:tc>
        <w:tc>
          <w:tcPr>
            <w:tcW w:w="4937" w:type="dxa"/>
          </w:tcPr>
          <w:p w14:paraId="5D63E12C">
            <w:pPr>
              <w:pStyle w:val="25"/>
              <w:rPr>
                <w:rFonts w:hint="default" w:ascii="宋体" w:hAnsi="宋体" w:cs="宋体"/>
                <w:szCs w:val="22"/>
                <w:lang w:eastAsia="zh-CN"/>
              </w:rPr>
            </w:pPr>
            <w:r>
              <w:rPr>
                <w:rFonts w:ascii="宋体" w:hAnsi="宋体" w:cs="宋体"/>
                <w:szCs w:val="22"/>
                <w:lang w:eastAsia="zh-CN"/>
              </w:rPr>
              <w:t>设备保修期内根据厂家发布的最新版本软件随时更新升级，相关费用由中标人承担。</w:t>
            </w:r>
          </w:p>
        </w:tc>
      </w:tr>
      <w:tr w14:paraId="72BCE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71177BC9">
            <w:pPr>
              <w:pStyle w:val="25"/>
              <w:jc w:val="center"/>
              <w:rPr>
                <w:rFonts w:hint="default"/>
              </w:rPr>
            </w:pPr>
          </w:p>
        </w:tc>
        <w:tc>
          <w:tcPr>
            <w:tcW w:w="1245" w:type="dxa"/>
            <w:vAlign w:val="center"/>
          </w:tcPr>
          <w:p w14:paraId="484FA0A7">
            <w:pPr>
              <w:pStyle w:val="25"/>
              <w:jc w:val="center"/>
              <w:rPr>
                <w:rFonts w:hint="default"/>
                <w:lang w:eastAsia="zh-CN"/>
              </w:rPr>
            </w:pPr>
            <w:r>
              <w:rPr>
                <w:lang w:eastAsia="zh-CN"/>
              </w:rPr>
              <w:t>8</w:t>
            </w:r>
          </w:p>
        </w:tc>
        <w:tc>
          <w:tcPr>
            <w:tcW w:w="1485" w:type="dxa"/>
            <w:gridSpan w:val="2"/>
            <w:vAlign w:val="center"/>
          </w:tcPr>
          <w:p w14:paraId="73B81501">
            <w:pPr>
              <w:pStyle w:val="25"/>
              <w:jc w:val="center"/>
              <w:rPr>
                <w:rFonts w:hint="default"/>
                <w:lang w:eastAsia="zh-CN"/>
              </w:rPr>
            </w:pPr>
            <w:r>
              <w:rPr>
                <w:rFonts w:hint="default"/>
                <w:lang w:eastAsia="zh-CN"/>
              </w:rPr>
              <w:t>到货要求</w:t>
            </w:r>
          </w:p>
        </w:tc>
        <w:tc>
          <w:tcPr>
            <w:tcW w:w="4937" w:type="dxa"/>
          </w:tcPr>
          <w:p w14:paraId="5B36E742">
            <w:pPr>
              <w:pStyle w:val="25"/>
              <w:rPr>
                <w:rFonts w:hint="default" w:ascii="宋体" w:hAnsi="宋体" w:cs="宋体"/>
                <w:szCs w:val="22"/>
                <w:lang w:eastAsia="zh-CN"/>
              </w:rPr>
            </w:pPr>
            <w:r>
              <w:rPr>
                <w:rFonts w:ascii="宋体" w:hAnsi="宋体" w:cs="宋体"/>
                <w:szCs w:val="22"/>
                <w:lang w:eastAsia="zh-CN"/>
              </w:rPr>
              <w:t>自合同签订之日起，到货时间</w:t>
            </w:r>
            <w:r>
              <w:rPr>
                <w:rFonts w:ascii="宋体" w:hAnsi="宋体" w:cs="宋体"/>
                <w:szCs w:val="22"/>
                <w:u w:val="single"/>
                <w:lang w:eastAsia="zh-CN"/>
              </w:rPr>
              <w:t>≤30天</w:t>
            </w:r>
            <w:r>
              <w:rPr>
                <w:rFonts w:ascii="宋体" w:hAnsi="宋体" w:cs="宋体"/>
                <w:szCs w:val="22"/>
                <w:lang w:eastAsia="zh-CN"/>
              </w:rPr>
              <w:t>；如采购人有特殊需求，另行协商。</w:t>
            </w:r>
          </w:p>
        </w:tc>
      </w:tr>
      <w:tr w14:paraId="63996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27D7EA54">
            <w:pPr>
              <w:pStyle w:val="25"/>
              <w:jc w:val="center"/>
              <w:rPr>
                <w:rFonts w:hint="default"/>
              </w:rPr>
            </w:pPr>
          </w:p>
        </w:tc>
        <w:tc>
          <w:tcPr>
            <w:tcW w:w="1245" w:type="dxa"/>
            <w:vAlign w:val="center"/>
          </w:tcPr>
          <w:p w14:paraId="54DEE24A">
            <w:pPr>
              <w:pStyle w:val="25"/>
              <w:jc w:val="center"/>
              <w:rPr>
                <w:rFonts w:hint="default"/>
                <w:lang w:eastAsia="zh-CN"/>
              </w:rPr>
            </w:pPr>
            <w:r>
              <w:rPr>
                <w:lang w:eastAsia="zh-CN"/>
              </w:rPr>
              <w:t>9</w:t>
            </w:r>
          </w:p>
        </w:tc>
        <w:tc>
          <w:tcPr>
            <w:tcW w:w="1485" w:type="dxa"/>
            <w:gridSpan w:val="2"/>
            <w:vAlign w:val="center"/>
          </w:tcPr>
          <w:p w14:paraId="3752D22B">
            <w:pPr>
              <w:pStyle w:val="25"/>
              <w:jc w:val="center"/>
              <w:rPr>
                <w:rFonts w:hint="default"/>
                <w:lang w:eastAsia="zh-CN"/>
              </w:rPr>
            </w:pPr>
            <w:r>
              <w:rPr>
                <w:rFonts w:hint="default"/>
                <w:lang w:eastAsia="zh-CN"/>
              </w:rPr>
              <w:t>安装调试</w:t>
            </w:r>
          </w:p>
        </w:tc>
        <w:tc>
          <w:tcPr>
            <w:tcW w:w="4937" w:type="dxa"/>
          </w:tcPr>
          <w:p w14:paraId="73AF8543">
            <w:pPr>
              <w:pStyle w:val="25"/>
              <w:rPr>
                <w:rFonts w:hint="default" w:ascii="宋体" w:hAnsi="宋体" w:cs="宋体"/>
                <w:szCs w:val="22"/>
                <w:lang w:eastAsia="zh-CN"/>
              </w:rPr>
            </w:pPr>
            <w:r>
              <w:rPr>
                <w:rFonts w:ascii="宋体" w:hAnsi="宋体" w:cs="宋体"/>
                <w:szCs w:val="22"/>
                <w:lang w:eastAsia="zh-CN"/>
              </w:rPr>
              <w:t>设备到达采购人项目现场前，中标人提供安装前期准备书面通知，并协助采购人做好安装前准备。到货后由中标人的技术人员到现场进行安装调试，采购人无需额外支付相关费用。安装、调试后应达到承诺的技术指标。</w:t>
            </w:r>
          </w:p>
        </w:tc>
      </w:tr>
      <w:tr w14:paraId="28B3F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14BFE8A1">
            <w:pPr>
              <w:pStyle w:val="25"/>
              <w:jc w:val="center"/>
              <w:rPr>
                <w:rFonts w:hint="default"/>
              </w:rPr>
            </w:pPr>
            <w:r>
              <w:rPr>
                <w:lang w:eastAsia="zh-CN"/>
              </w:rPr>
              <w:t>★</w:t>
            </w:r>
          </w:p>
        </w:tc>
        <w:tc>
          <w:tcPr>
            <w:tcW w:w="1245" w:type="dxa"/>
            <w:vAlign w:val="center"/>
          </w:tcPr>
          <w:p w14:paraId="72EFAFFC">
            <w:pPr>
              <w:pStyle w:val="25"/>
              <w:jc w:val="center"/>
              <w:rPr>
                <w:rFonts w:hint="default"/>
                <w:lang w:eastAsia="zh-CN"/>
              </w:rPr>
            </w:pPr>
            <w:r>
              <w:rPr>
                <w:lang w:eastAsia="zh-CN"/>
              </w:rPr>
              <w:t>10</w:t>
            </w:r>
          </w:p>
        </w:tc>
        <w:tc>
          <w:tcPr>
            <w:tcW w:w="1485" w:type="dxa"/>
            <w:gridSpan w:val="2"/>
            <w:vAlign w:val="center"/>
          </w:tcPr>
          <w:p w14:paraId="62FF8A42">
            <w:pPr>
              <w:pStyle w:val="25"/>
              <w:jc w:val="center"/>
              <w:rPr>
                <w:rFonts w:hint="default"/>
                <w:lang w:eastAsia="zh-CN"/>
              </w:rPr>
            </w:pPr>
            <w:r>
              <w:rPr>
                <w:rFonts w:hint="default"/>
                <w:lang w:eastAsia="zh-CN"/>
              </w:rPr>
              <w:t>信息接口</w:t>
            </w:r>
          </w:p>
        </w:tc>
        <w:tc>
          <w:tcPr>
            <w:tcW w:w="4937" w:type="dxa"/>
          </w:tcPr>
          <w:p w14:paraId="056B883D">
            <w:pPr>
              <w:pStyle w:val="25"/>
              <w:rPr>
                <w:rFonts w:hint="default" w:ascii="宋体" w:hAnsi="宋体" w:cs="宋体"/>
                <w:szCs w:val="22"/>
                <w:lang w:eastAsia="zh-CN"/>
              </w:rPr>
            </w:pPr>
            <w:r>
              <w:rPr>
                <w:rFonts w:ascii="宋体" w:hAnsi="宋体" w:cs="宋体"/>
                <w:szCs w:val="22"/>
                <w:lang w:eastAsia="zh-CN"/>
              </w:rPr>
              <w:t>设备如需与采购人信息系统（如：PACS、LIS、HIS系统等）连接，信息系统接口等费用由中标人承担。</w:t>
            </w:r>
          </w:p>
        </w:tc>
      </w:tr>
      <w:tr w14:paraId="3F6FD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23D6F9E8">
            <w:pPr>
              <w:pStyle w:val="25"/>
              <w:jc w:val="center"/>
              <w:rPr>
                <w:rFonts w:hint="default"/>
              </w:rPr>
            </w:pPr>
          </w:p>
        </w:tc>
        <w:tc>
          <w:tcPr>
            <w:tcW w:w="1245" w:type="dxa"/>
            <w:vAlign w:val="center"/>
          </w:tcPr>
          <w:p w14:paraId="6F31CC2A">
            <w:pPr>
              <w:pStyle w:val="25"/>
              <w:jc w:val="center"/>
              <w:rPr>
                <w:rFonts w:hint="default"/>
                <w:lang w:eastAsia="zh-CN"/>
              </w:rPr>
            </w:pPr>
            <w:r>
              <w:rPr>
                <w:lang w:eastAsia="zh-CN"/>
              </w:rPr>
              <w:t>11</w:t>
            </w:r>
          </w:p>
        </w:tc>
        <w:tc>
          <w:tcPr>
            <w:tcW w:w="1485" w:type="dxa"/>
            <w:gridSpan w:val="2"/>
            <w:vAlign w:val="center"/>
          </w:tcPr>
          <w:p w14:paraId="17545EDC">
            <w:pPr>
              <w:pStyle w:val="25"/>
              <w:jc w:val="center"/>
              <w:rPr>
                <w:rFonts w:hint="default"/>
                <w:lang w:eastAsia="zh-CN"/>
              </w:rPr>
            </w:pPr>
            <w:r>
              <w:rPr>
                <w:rFonts w:hint="default"/>
                <w:lang w:eastAsia="zh-CN"/>
              </w:rPr>
              <w:t>备品提供</w:t>
            </w:r>
          </w:p>
        </w:tc>
        <w:tc>
          <w:tcPr>
            <w:tcW w:w="4937" w:type="dxa"/>
          </w:tcPr>
          <w:p w14:paraId="49CEC1A9">
            <w:pPr>
              <w:pStyle w:val="25"/>
              <w:rPr>
                <w:rFonts w:hint="default" w:ascii="宋体" w:hAnsi="宋体" w:cs="宋体"/>
                <w:szCs w:val="22"/>
                <w:lang w:eastAsia="zh-CN"/>
              </w:rPr>
            </w:pPr>
            <w:r>
              <w:rPr>
                <w:rFonts w:ascii="宋体" w:hAnsi="宋体" w:cs="宋体"/>
                <w:szCs w:val="22"/>
                <w:lang w:eastAsia="zh-CN"/>
              </w:rPr>
              <w:t>保修期内如设备出现故障，≥10个工作日无法修复的，中标人需提供备品给采购人使用。</w:t>
            </w:r>
          </w:p>
        </w:tc>
      </w:tr>
      <w:tr w14:paraId="10D1A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2A2CB089">
            <w:pPr>
              <w:pStyle w:val="25"/>
              <w:jc w:val="center"/>
              <w:rPr>
                <w:rFonts w:hint="default"/>
              </w:rPr>
            </w:pPr>
            <w:r>
              <w:rPr>
                <w:lang w:eastAsia="zh-CN"/>
              </w:rPr>
              <w:t>★</w:t>
            </w:r>
          </w:p>
        </w:tc>
        <w:tc>
          <w:tcPr>
            <w:tcW w:w="1245" w:type="dxa"/>
            <w:vAlign w:val="center"/>
          </w:tcPr>
          <w:p w14:paraId="32EAB01F">
            <w:pPr>
              <w:pStyle w:val="25"/>
              <w:jc w:val="center"/>
              <w:rPr>
                <w:rFonts w:hint="default"/>
                <w:lang w:eastAsia="zh-CN"/>
              </w:rPr>
            </w:pPr>
            <w:r>
              <w:rPr>
                <w:lang w:eastAsia="zh-CN"/>
              </w:rPr>
              <w:t>12</w:t>
            </w:r>
          </w:p>
        </w:tc>
        <w:tc>
          <w:tcPr>
            <w:tcW w:w="1485" w:type="dxa"/>
            <w:gridSpan w:val="2"/>
            <w:vAlign w:val="center"/>
          </w:tcPr>
          <w:p w14:paraId="17363D35">
            <w:pPr>
              <w:pStyle w:val="25"/>
              <w:jc w:val="center"/>
              <w:rPr>
                <w:rFonts w:hint="default"/>
                <w:lang w:eastAsia="zh-CN"/>
              </w:rPr>
            </w:pPr>
            <w:r>
              <w:rPr>
                <w:rFonts w:hint="default"/>
                <w:lang w:eastAsia="zh-CN"/>
              </w:rPr>
              <w:t>计量校准</w:t>
            </w:r>
          </w:p>
        </w:tc>
        <w:tc>
          <w:tcPr>
            <w:tcW w:w="4937" w:type="dxa"/>
          </w:tcPr>
          <w:p w14:paraId="46A981D6">
            <w:pPr>
              <w:pStyle w:val="25"/>
              <w:rPr>
                <w:rFonts w:hint="default" w:ascii="宋体" w:hAnsi="宋体" w:cs="宋体"/>
                <w:szCs w:val="22"/>
                <w:lang w:eastAsia="zh-CN"/>
              </w:rPr>
            </w:pPr>
            <w:r>
              <w:rPr>
                <w:rFonts w:ascii="宋体" w:hAnsi="宋体" w:cs="宋体"/>
                <w:szCs w:val="22"/>
                <w:lang w:eastAsia="zh-CN"/>
              </w:rPr>
              <w:t>按照国家、省市相关规范及行业相关标准要求，如需进行计量校准（包括强制检定器具、以及非强制检定器具，检定依据《中华人民共和国计量法》及其实施细则等法律法规执行）的设备及附属设施，需由第三方专业机构进行计量校准及相关检测，相关检测费用由中标人承担。</w:t>
            </w:r>
          </w:p>
        </w:tc>
      </w:tr>
      <w:tr w14:paraId="469BF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6D9C1242">
            <w:pPr>
              <w:pStyle w:val="25"/>
              <w:jc w:val="center"/>
              <w:rPr>
                <w:rFonts w:hint="default"/>
              </w:rPr>
            </w:pPr>
          </w:p>
        </w:tc>
        <w:tc>
          <w:tcPr>
            <w:tcW w:w="1245" w:type="dxa"/>
            <w:vAlign w:val="center"/>
          </w:tcPr>
          <w:p w14:paraId="16C754B3">
            <w:pPr>
              <w:pStyle w:val="25"/>
              <w:jc w:val="center"/>
              <w:rPr>
                <w:rFonts w:hint="default"/>
                <w:lang w:eastAsia="zh-CN"/>
              </w:rPr>
            </w:pPr>
            <w:r>
              <w:rPr>
                <w:lang w:eastAsia="zh-CN"/>
              </w:rPr>
              <w:t>13</w:t>
            </w:r>
          </w:p>
        </w:tc>
        <w:tc>
          <w:tcPr>
            <w:tcW w:w="1485" w:type="dxa"/>
            <w:gridSpan w:val="2"/>
            <w:vAlign w:val="center"/>
          </w:tcPr>
          <w:p w14:paraId="6E12AC4B">
            <w:pPr>
              <w:pStyle w:val="25"/>
              <w:jc w:val="center"/>
              <w:rPr>
                <w:rFonts w:hint="default"/>
                <w:lang w:eastAsia="zh-CN"/>
              </w:rPr>
            </w:pPr>
            <w:r>
              <w:rPr>
                <w:rFonts w:hint="default"/>
                <w:lang w:eastAsia="zh-CN"/>
              </w:rPr>
              <w:t>设备出厂时间要求</w:t>
            </w:r>
          </w:p>
        </w:tc>
        <w:tc>
          <w:tcPr>
            <w:tcW w:w="4937" w:type="dxa"/>
          </w:tcPr>
          <w:p w14:paraId="61B4AC4D">
            <w:pPr>
              <w:pStyle w:val="25"/>
              <w:rPr>
                <w:rFonts w:hint="default" w:ascii="宋体" w:hAnsi="宋体" w:cs="宋体"/>
                <w:szCs w:val="22"/>
                <w:lang w:eastAsia="zh-CN"/>
              </w:rPr>
            </w:pPr>
            <w:r>
              <w:rPr>
                <w:rFonts w:ascii="宋体" w:hAnsi="宋体" w:cs="宋体"/>
                <w:szCs w:val="22"/>
                <w:lang w:eastAsia="zh-CN"/>
              </w:rPr>
              <w:t>交货设备须为最新出厂的设备，设备到货日期距生产日期：进口设备≤8个月，国产设备≤4个月。</w:t>
            </w:r>
          </w:p>
        </w:tc>
      </w:tr>
      <w:tr w14:paraId="39E41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153CF566">
            <w:pPr>
              <w:pStyle w:val="25"/>
              <w:jc w:val="center"/>
              <w:rPr>
                <w:rFonts w:hint="default"/>
              </w:rPr>
            </w:pPr>
          </w:p>
        </w:tc>
        <w:tc>
          <w:tcPr>
            <w:tcW w:w="1245" w:type="dxa"/>
            <w:vAlign w:val="center"/>
          </w:tcPr>
          <w:p w14:paraId="66EA9133">
            <w:pPr>
              <w:pStyle w:val="25"/>
              <w:jc w:val="center"/>
              <w:rPr>
                <w:rFonts w:hint="default"/>
                <w:lang w:eastAsia="zh-CN"/>
              </w:rPr>
            </w:pPr>
            <w:r>
              <w:rPr>
                <w:lang w:eastAsia="zh-CN"/>
              </w:rPr>
              <w:t>14</w:t>
            </w:r>
          </w:p>
        </w:tc>
        <w:tc>
          <w:tcPr>
            <w:tcW w:w="1485" w:type="dxa"/>
            <w:gridSpan w:val="2"/>
            <w:vAlign w:val="center"/>
          </w:tcPr>
          <w:p w14:paraId="262C7A2C">
            <w:pPr>
              <w:pStyle w:val="25"/>
              <w:jc w:val="center"/>
              <w:rPr>
                <w:rFonts w:hint="default"/>
                <w:lang w:eastAsia="zh-CN"/>
              </w:rPr>
            </w:pPr>
            <w:r>
              <w:rPr>
                <w:rFonts w:hint="default"/>
                <w:lang w:eastAsia="zh-CN"/>
              </w:rPr>
              <w:t>培训要求</w:t>
            </w:r>
          </w:p>
        </w:tc>
        <w:tc>
          <w:tcPr>
            <w:tcW w:w="4937" w:type="dxa"/>
          </w:tcPr>
          <w:p w14:paraId="4ECC7C85">
            <w:pPr>
              <w:pStyle w:val="25"/>
              <w:rPr>
                <w:rFonts w:hint="default" w:ascii="宋体" w:hAnsi="宋体" w:cs="宋体"/>
                <w:szCs w:val="22"/>
                <w:lang w:eastAsia="zh-CN"/>
              </w:rPr>
            </w:pPr>
            <w:r>
              <w:rPr>
                <w:rFonts w:ascii="宋体" w:hAnsi="宋体" w:cs="宋体"/>
                <w:szCs w:val="22"/>
                <w:lang w:eastAsia="zh-CN"/>
              </w:rPr>
              <w:t>（1）设备安装时提供操作培训、临床应用培训、清洁消毒培训及维修保养培训等设备使用及日常管理的相关培训，同时在后续使用中能根据采购人需要提供相关补充培训，确保设备使用维护良好；</w:t>
            </w:r>
          </w:p>
          <w:p w14:paraId="250A4750">
            <w:pPr>
              <w:pStyle w:val="25"/>
              <w:rPr>
                <w:rFonts w:hint="default" w:ascii="宋体" w:hAnsi="宋体" w:cs="宋体"/>
                <w:szCs w:val="22"/>
                <w:lang w:eastAsia="zh-CN"/>
              </w:rPr>
            </w:pPr>
            <w:r>
              <w:rPr>
                <w:rFonts w:ascii="宋体" w:hAnsi="宋体" w:cs="宋体"/>
                <w:szCs w:val="22"/>
                <w:lang w:eastAsia="zh-CN"/>
              </w:rPr>
              <w:t>（2）临床应用培训：中标人负责安排具备设备原厂临床应用培训老师，上门提供设备临床应用培训≥1次，每次≥1天，相关费用由中标人承担；</w:t>
            </w:r>
          </w:p>
          <w:p w14:paraId="722D0F44">
            <w:pPr>
              <w:pStyle w:val="25"/>
              <w:rPr>
                <w:rFonts w:hint="default" w:ascii="宋体" w:hAnsi="宋体" w:cs="宋体"/>
                <w:szCs w:val="22"/>
                <w:lang w:eastAsia="zh-CN"/>
              </w:rPr>
            </w:pPr>
            <w:r>
              <w:rPr>
                <w:rFonts w:ascii="宋体" w:hAnsi="宋体" w:cs="宋体"/>
                <w:szCs w:val="22"/>
                <w:lang w:eastAsia="zh-CN"/>
              </w:rPr>
              <w:t>（3）维修维护培训：中标人负责对采购人的工程技术人员进行设备维修、保养、巡检、质控等设备后续运维相关的培训，相关费用由中标人承担；</w:t>
            </w:r>
          </w:p>
        </w:tc>
      </w:tr>
      <w:tr w14:paraId="5BDF1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vAlign w:val="center"/>
          </w:tcPr>
          <w:p w14:paraId="55C1E903">
            <w:pPr>
              <w:pStyle w:val="25"/>
              <w:jc w:val="center"/>
              <w:rPr>
                <w:rFonts w:hint="default"/>
              </w:rPr>
            </w:pPr>
          </w:p>
        </w:tc>
        <w:tc>
          <w:tcPr>
            <w:tcW w:w="1245" w:type="dxa"/>
            <w:vAlign w:val="center"/>
          </w:tcPr>
          <w:p w14:paraId="5623AC7D">
            <w:pPr>
              <w:pStyle w:val="25"/>
              <w:jc w:val="center"/>
              <w:rPr>
                <w:rFonts w:hint="default"/>
                <w:lang w:eastAsia="zh-CN"/>
              </w:rPr>
            </w:pPr>
            <w:r>
              <w:rPr>
                <w:lang w:eastAsia="zh-CN"/>
              </w:rPr>
              <w:t>15</w:t>
            </w:r>
          </w:p>
        </w:tc>
        <w:tc>
          <w:tcPr>
            <w:tcW w:w="1485" w:type="dxa"/>
            <w:gridSpan w:val="2"/>
            <w:vAlign w:val="center"/>
          </w:tcPr>
          <w:p w14:paraId="245BB525">
            <w:pPr>
              <w:pStyle w:val="25"/>
              <w:jc w:val="center"/>
              <w:rPr>
                <w:rFonts w:hint="default"/>
                <w:lang w:eastAsia="zh-CN"/>
              </w:rPr>
            </w:pPr>
            <w:r>
              <w:rPr>
                <w:rFonts w:hint="default"/>
                <w:lang w:eastAsia="zh-CN"/>
              </w:rPr>
              <w:t>资料文书</w:t>
            </w:r>
          </w:p>
        </w:tc>
        <w:tc>
          <w:tcPr>
            <w:tcW w:w="4937" w:type="dxa"/>
          </w:tcPr>
          <w:p w14:paraId="5202B1FB">
            <w:pPr>
              <w:pStyle w:val="25"/>
              <w:rPr>
                <w:rFonts w:hint="default" w:ascii="宋体" w:hAnsi="宋体" w:cs="宋体"/>
                <w:szCs w:val="22"/>
                <w:lang w:eastAsia="zh-CN"/>
              </w:rPr>
            </w:pPr>
            <w:r>
              <w:rPr>
                <w:rFonts w:ascii="宋体" w:hAnsi="宋体" w:cs="宋体"/>
                <w:szCs w:val="22"/>
                <w:lang w:eastAsia="zh-CN"/>
              </w:rPr>
              <w:t>供货时提供整套完整的中文技术文件，包括产品合格证、使用说明书、简明操作流程卡、维修保养手册等。</w:t>
            </w:r>
          </w:p>
        </w:tc>
      </w:tr>
      <w:tr w14:paraId="2505F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3"/>
            <w:vAlign w:val="center"/>
          </w:tcPr>
          <w:p w14:paraId="22A8DE7B">
            <w:pPr>
              <w:pStyle w:val="25"/>
              <w:spacing w:line="360" w:lineRule="auto"/>
              <w:jc w:val="center"/>
              <w:rPr>
                <w:rFonts w:hint="default"/>
              </w:rPr>
            </w:pPr>
            <w:r>
              <w:t>说明</w:t>
            </w:r>
          </w:p>
        </w:tc>
        <w:tc>
          <w:tcPr>
            <w:tcW w:w="6092" w:type="dxa"/>
            <w:gridSpan w:val="2"/>
          </w:tcPr>
          <w:p w14:paraId="7B5363B6">
            <w:pPr>
              <w:pStyle w:val="25"/>
              <w:rPr>
                <w:rFonts w:hint="default"/>
                <w:lang w:eastAsia="zh-CN"/>
              </w:rPr>
            </w:pPr>
            <w:r>
              <w:rPr>
                <w:lang w:eastAsia="zh-CN"/>
              </w:rPr>
              <w:t xml:space="preserve">打“★”号条款为实质性条款，若有任何一条负偏离或不满足则导致投标（响应）无效。 </w:t>
            </w:r>
            <w:r>
              <w:rPr>
                <w:lang w:eastAsia="zh-CN"/>
              </w:rPr>
              <w:br w:type="textWrapping"/>
            </w:r>
            <w:r>
              <w:rPr>
                <w:lang w:eastAsia="zh-CN"/>
              </w:rPr>
              <w:t>打“▲”号条款为重要参数（如有），若有部分“▲”条款未响应或不满足，将根据评审要求影响其得分，但不作为无效投标（响应）条款。</w:t>
            </w:r>
          </w:p>
        </w:tc>
      </w:tr>
    </w:tbl>
    <w:p w14:paraId="132946B0">
      <w:pPr>
        <w:pStyle w:val="25"/>
        <w:rPr>
          <w:rFonts w:hint="default"/>
          <w:b/>
          <w:lang w:eastAsia="zh-CN"/>
        </w:rPr>
      </w:pPr>
    </w:p>
    <w:p w14:paraId="223E9C9E">
      <w:pPr>
        <w:pStyle w:val="25"/>
        <w:rPr>
          <w:rFonts w:hint="default"/>
          <w:b/>
          <w:lang w:eastAsia="zh-CN"/>
        </w:rPr>
      </w:pPr>
    </w:p>
    <w:p w14:paraId="50ABB63B">
      <w:pPr>
        <w:pStyle w:val="25"/>
        <w:rPr>
          <w:rFonts w:hint="default"/>
          <w:b/>
        </w:rPr>
      </w:pPr>
      <w:r>
        <w:rPr>
          <w:b/>
        </w:rPr>
        <w:t>2.技术标准与要求</w:t>
      </w:r>
    </w:p>
    <w:tbl>
      <w:tblPr>
        <w:tblStyle w:val="20"/>
        <w:tblW w:w="1014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48"/>
        <w:gridCol w:w="871"/>
        <w:gridCol w:w="871"/>
        <w:gridCol w:w="2372"/>
        <w:gridCol w:w="494"/>
        <w:gridCol w:w="666"/>
        <w:gridCol w:w="1216"/>
        <w:gridCol w:w="1301"/>
        <w:gridCol w:w="844"/>
        <w:gridCol w:w="964"/>
      </w:tblGrid>
      <w:tr w14:paraId="4A281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48" w:type="dxa"/>
            <w:vAlign w:val="center"/>
          </w:tcPr>
          <w:p w14:paraId="599548ED">
            <w:pPr>
              <w:pStyle w:val="25"/>
              <w:jc w:val="center"/>
              <w:rPr>
                <w:rFonts w:hint="default" w:asciiTheme="minorEastAsia" w:hAnsiTheme="minorEastAsia" w:eastAsiaTheme="minorEastAsia" w:cstheme="minorEastAsia"/>
              </w:rPr>
            </w:pPr>
            <w:r>
              <w:rPr>
                <w:rFonts w:asciiTheme="minorEastAsia" w:hAnsiTheme="minorEastAsia" w:eastAsiaTheme="minorEastAsia" w:cstheme="minorEastAsia"/>
              </w:rPr>
              <w:t>序号</w:t>
            </w:r>
          </w:p>
        </w:tc>
        <w:tc>
          <w:tcPr>
            <w:tcW w:w="871" w:type="dxa"/>
            <w:vAlign w:val="center"/>
          </w:tcPr>
          <w:p w14:paraId="12A58500">
            <w:pPr>
              <w:pStyle w:val="25"/>
              <w:jc w:val="center"/>
              <w:rPr>
                <w:rFonts w:hint="default" w:asciiTheme="minorEastAsia" w:hAnsiTheme="minorEastAsia" w:eastAsiaTheme="minorEastAsia" w:cstheme="minorEastAsia"/>
                <w:lang w:eastAsia="zh-CN"/>
              </w:rPr>
            </w:pPr>
            <w:r>
              <w:rPr>
                <w:rFonts w:ascii="宋体" w:hAnsi="宋体" w:cs="宋体"/>
                <w:b/>
                <w:bCs/>
                <w:kern w:val="2"/>
                <w:lang w:eastAsia="zh-CN"/>
              </w:rPr>
              <w:t>核心产品要求（  “△”）</w:t>
            </w:r>
          </w:p>
        </w:tc>
        <w:tc>
          <w:tcPr>
            <w:tcW w:w="871" w:type="dxa"/>
            <w:vAlign w:val="center"/>
          </w:tcPr>
          <w:p w14:paraId="7C6FABE3">
            <w:pPr>
              <w:pStyle w:val="25"/>
              <w:jc w:val="center"/>
              <w:rPr>
                <w:rFonts w:hint="default" w:asciiTheme="minorEastAsia" w:hAnsiTheme="minorEastAsia" w:eastAsiaTheme="minorEastAsia" w:cstheme="minorEastAsia"/>
                <w:lang w:eastAsia="zh-CN"/>
              </w:rPr>
            </w:pPr>
            <w:r>
              <w:rPr>
                <w:rFonts w:asciiTheme="minorEastAsia" w:hAnsiTheme="minorEastAsia" w:eastAsiaTheme="minorEastAsia" w:cstheme="minorEastAsia"/>
                <w:lang w:eastAsia="zh-CN"/>
              </w:rPr>
              <w:t>项目属性</w:t>
            </w:r>
          </w:p>
        </w:tc>
        <w:tc>
          <w:tcPr>
            <w:tcW w:w="2372" w:type="dxa"/>
            <w:vAlign w:val="center"/>
          </w:tcPr>
          <w:p w14:paraId="22773A7D">
            <w:pPr>
              <w:pStyle w:val="25"/>
              <w:jc w:val="center"/>
              <w:rPr>
                <w:rFonts w:hint="default" w:asciiTheme="minorEastAsia" w:hAnsiTheme="minorEastAsia" w:eastAsiaTheme="minorEastAsia" w:cstheme="minorEastAsia"/>
              </w:rPr>
            </w:pPr>
            <w:r>
              <w:rPr>
                <w:rFonts w:asciiTheme="minorEastAsia" w:hAnsiTheme="minorEastAsia" w:eastAsiaTheme="minorEastAsia" w:cstheme="minorEastAsia"/>
              </w:rPr>
              <w:t>标的名称</w:t>
            </w:r>
          </w:p>
        </w:tc>
        <w:tc>
          <w:tcPr>
            <w:tcW w:w="494" w:type="dxa"/>
            <w:vAlign w:val="center"/>
          </w:tcPr>
          <w:p w14:paraId="16BB4D28">
            <w:pPr>
              <w:pStyle w:val="25"/>
              <w:jc w:val="center"/>
              <w:rPr>
                <w:rFonts w:hint="default" w:asciiTheme="minorEastAsia" w:hAnsiTheme="minorEastAsia" w:eastAsiaTheme="minorEastAsia" w:cstheme="minorEastAsia"/>
              </w:rPr>
            </w:pPr>
            <w:r>
              <w:rPr>
                <w:rFonts w:asciiTheme="minorEastAsia" w:hAnsiTheme="minorEastAsia" w:eastAsiaTheme="minorEastAsia" w:cstheme="minorEastAsia"/>
              </w:rPr>
              <w:t>单位</w:t>
            </w:r>
          </w:p>
        </w:tc>
        <w:tc>
          <w:tcPr>
            <w:tcW w:w="666" w:type="dxa"/>
            <w:vAlign w:val="center"/>
          </w:tcPr>
          <w:p w14:paraId="737C8FF1">
            <w:pPr>
              <w:pStyle w:val="25"/>
              <w:jc w:val="center"/>
              <w:rPr>
                <w:rFonts w:hint="default" w:asciiTheme="minorEastAsia" w:hAnsiTheme="minorEastAsia" w:eastAsiaTheme="minorEastAsia" w:cstheme="minorEastAsia"/>
              </w:rPr>
            </w:pPr>
            <w:r>
              <w:rPr>
                <w:rFonts w:asciiTheme="minorEastAsia" w:hAnsiTheme="minorEastAsia" w:eastAsiaTheme="minorEastAsia" w:cstheme="minorEastAsia"/>
              </w:rPr>
              <w:t>数量</w:t>
            </w:r>
          </w:p>
        </w:tc>
        <w:tc>
          <w:tcPr>
            <w:tcW w:w="1216" w:type="dxa"/>
            <w:vAlign w:val="center"/>
          </w:tcPr>
          <w:p w14:paraId="68CC5103">
            <w:pPr>
              <w:pStyle w:val="25"/>
              <w:jc w:val="center"/>
              <w:rPr>
                <w:rFonts w:hint="default" w:asciiTheme="minorEastAsia" w:hAnsiTheme="minorEastAsia" w:eastAsiaTheme="minorEastAsia" w:cstheme="minorEastAsia"/>
              </w:rPr>
            </w:pPr>
            <w:r>
              <w:rPr>
                <w:rFonts w:asciiTheme="minorEastAsia" w:hAnsiTheme="minorEastAsia" w:eastAsiaTheme="minorEastAsia" w:cstheme="minorEastAsia"/>
              </w:rPr>
              <w:t>分项预算单价（元）</w:t>
            </w:r>
          </w:p>
        </w:tc>
        <w:tc>
          <w:tcPr>
            <w:tcW w:w="1301" w:type="dxa"/>
            <w:vAlign w:val="center"/>
          </w:tcPr>
          <w:p w14:paraId="57EC7E66">
            <w:pPr>
              <w:pStyle w:val="25"/>
              <w:jc w:val="center"/>
              <w:rPr>
                <w:rFonts w:hint="default" w:asciiTheme="minorEastAsia" w:hAnsiTheme="minorEastAsia" w:eastAsiaTheme="minorEastAsia" w:cstheme="minorEastAsia"/>
              </w:rPr>
            </w:pPr>
            <w:r>
              <w:rPr>
                <w:rFonts w:asciiTheme="minorEastAsia" w:hAnsiTheme="minorEastAsia" w:eastAsiaTheme="minorEastAsia" w:cstheme="minorEastAsia"/>
              </w:rPr>
              <w:t>分项预算总价（元）</w:t>
            </w:r>
          </w:p>
        </w:tc>
        <w:tc>
          <w:tcPr>
            <w:tcW w:w="844" w:type="dxa"/>
            <w:vAlign w:val="center"/>
          </w:tcPr>
          <w:p w14:paraId="6E1EE27E">
            <w:pPr>
              <w:pStyle w:val="25"/>
              <w:rPr>
                <w:rFonts w:hint="default" w:asciiTheme="minorEastAsia" w:hAnsiTheme="minorEastAsia" w:eastAsiaTheme="minorEastAsia" w:cstheme="minorEastAsia"/>
              </w:rPr>
            </w:pPr>
            <w:r>
              <w:rPr>
                <w:rFonts w:asciiTheme="minorEastAsia" w:hAnsiTheme="minorEastAsia" w:eastAsiaTheme="minorEastAsia" w:cstheme="minorEastAsia"/>
              </w:rPr>
              <w:t>所属行业</w:t>
            </w:r>
          </w:p>
        </w:tc>
        <w:tc>
          <w:tcPr>
            <w:tcW w:w="964" w:type="dxa"/>
            <w:vAlign w:val="center"/>
          </w:tcPr>
          <w:p w14:paraId="311A2AAF">
            <w:pPr>
              <w:pStyle w:val="25"/>
              <w:jc w:val="center"/>
              <w:rPr>
                <w:rFonts w:hint="default" w:asciiTheme="minorEastAsia" w:hAnsiTheme="minorEastAsia" w:eastAsiaTheme="minorEastAsia" w:cstheme="minorEastAsia"/>
              </w:rPr>
            </w:pPr>
            <w:r>
              <w:rPr>
                <w:rFonts w:asciiTheme="minorEastAsia" w:hAnsiTheme="minorEastAsia" w:eastAsiaTheme="minorEastAsia" w:cstheme="minorEastAsia"/>
              </w:rPr>
              <w:t>技术要求</w:t>
            </w:r>
          </w:p>
        </w:tc>
      </w:tr>
      <w:tr w14:paraId="268C5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48" w:type="dxa"/>
            <w:vAlign w:val="center"/>
          </w:tcPr>
          <w:p w14:paraId="617C3BA7">
            <w:pPr>
              <w:pStyle w:val="25"/>
              <w:jc w:val="center"/>
              <w:rPr>
                <w:rFonts w:hint="default" w:asciiTheme="minorEastAsia" w:hAnsiTheme="minorEastAsia" w:eastAsiaTheme="minorEastAsia" w:cstheme="minorEastAsia"/>
              </w:rPr>
            </w:pPr>
            <w:r>
              <w:rPr>
                <w:rFonts w:asciiTheme="minorEastAsia" w:hAnsiTheme="minorEastAsia" w:eastAsiaTheme="minorEastAsia" w:cstheme="minorEastAsia"/>
              </w:rPr>
              <w:t>1</w:t>
            </w:r>
          </w:p>
        </w:tc>
        <w:tc>
          <w:tcPr>
            <w:tcW w:w="871" w:type="dxa"/>
            <w:vAlign w:val="center"/>
          </w:tcPr>
          <w:p w14:paraId="20E702AB">
            <w:pPr>
              <w:pStyle w:val="25"/>
              <w:jc w:val="center"/>
              <w:rPr>
                <w:rFonts w:hint="default" w:asciiTheme="minorEastAsia" w:hAnsiTheme="minorEastAsia" w:eastAsiaTheme="minorEastAsia" w:cstheme="minorEastAsia"/>
                <w:lang w:eastAsia="zh-CN"/>
              </w:rPr>
            </w:pPr>
            <w:r>
              <w:rPr>
                <w:rFonts w:ascii="宋体" w:hAnsi="宋体" w:cs="宋体"/>
                <w:kern w:val="2"/>
                <w:lang w:eastAsia="zh-CN"/>
              </w:rPr>
              <w:t>△</w:t>
            </w:r>
          </w:p>
        </w:tc>
        <w:tc>
          <w:tcPr>
            <w:tcW w:w="871" w:type="dxa"/>
            <w:vAlign w:val="center"/>
          </w:tcPr>
          <w:p w14:paraId="57438D9A">
            <w:pPr>
              <w:pStyle w:val="25"/>
              <w:jc w:val="center"/>
              <w:rPr>
                <w:rFonts w:hint="default" w:asciiTheme="minorEastAsia" w:hAnsiTheme="minorEastAsia" w:eastAsiaTheme="minorEastAsia" w:cstheme="minorEastAsia"/>
                <w:lang w:eastAsia="zh-CN"/>
              </w:rPr>
            </w:pPr>
            <w:r>
              <w:rPr>
                <w:rFonts w:asciiTheme="minorEastAsia" w:hAnsiTheme="minorEastAsia" w:eastAsiaTheme="minorEastAsia" w:cstheme="minorEastAsia"/>
                <w:lang w:eastAsia="zh-CN"/>
              </w:rPr>
              <w:t>货物</w:t>
            </w:r>
          </w:p>
        </w:tc>
        <w:tc>
          <w:tcPr>
            <w:tcW w:w="2372" w:type="dxa"/>
            <w:vAlign w:val="center"/>
          </w:tcPr>
          <w:p w14:paraId="57C7E803">
            <w:pPr>
              <w:pStyle w:val="25"/>
              <w:jc w:val="center"/>
              <w:rPr>
                <w:rFonts w:hint="default" w:asciiTheme="minorEastAsia" w:hAnsiTheme="minorEastAsia" w:eastAsiaTheme="minorEastAsia" w:cstheme="minorEastAsia"/>
                <w:lang w:eastAsia="zh-CN"/>
              </w:rPr>
            </w:pPr>
            <w:r>
              <w:rPr>
                <w:rFonts w:asciiTheme="minorEastAsia" w:hAnsiTheme="minorEastAsia" w:eastAsiaTheme="minorEastAsia" w:cstheme="minorEastAsia"/>
                <w:lang w:eastAsia="zh-CN"/>
              </w:rPr>
              <w:t>婴儿培养箱采购项目</w:t>
            </w:r>
          </w:p>
        </w:tc>
        <w:tc>
          <w:tcPr>
            <w:tcW w:w="494" w:type="dxa"/>
            <w:vAlign w:val="center"/>
          </w:tcPr>
          <w:p w14:paraId="034F0A8B">
            <w:pPr>
              <w:pStyle w:val="25"/>
              <w:jc w:val="center"/>
              <w:rPr>
                <w:rFonts w:hint="default" w:asciiTheme="minorEastAsia" w:hAnsiTheme="minorEastAsia" w:eastAsiaTheme="minorEastAsia" w:cstheme="minorEastAsia"/>
                <w:lang w:eastAsia="zh-CN"/>
              </w:rPr>
            </w:pPr>
            <w:r>
              <w:rPr>
                <w:rFonts w:asciiTheme="minorEastAsia" w:hAnsiTheme="minorEastAsia" w:eastAsiaTheme="minorEastAsia" w:cstheme="minorEastAsia"/>
                <w:lang w:eastAsia="zh-CN"/>
              </w:rPr>
              <w:t>套</w:t>
            </w:r>
          </w:p>
        </w:tc>
        <w:tc>
          <w:tcPr>
            <w:tcW w:w="666" w:type="dxa"/>
            <w:vAlign w:val="center"/>
          </w:tcPr>
          <w:p w14:paraId="4F5819C5">
            <w:pPr>
              <w:pStyle w:val="25"/>
              <w:jc w:val="center"/>
              <w:rPr>
                <w:rFonts w:hint="default" w:asciiTheme="minorEastAsia" w:hAnsiTheme="minorEastAsia" w:eastAsiaTheme="minorEastAsia" w:cstheme="minorEastAsia"/>
              </w:rPr>
            </w:pPr>
            <w:r>
              <w:rPr>
                <w:rFonts w:asciiTheme="minorEastAsia" w:hAnsiTheme="minorEastAsia" w:eastAsiaTheme="minorEastAsia" w:cstheme="minorEastAsia"/>
                <w:lang w:eastAsia="zh-CN"/>
              </w:rPr>
              <w:t>2</w:t>
            </w:r>
            <w:r>
              <w:rPr>
                <w:rFonts w:asciiTheme="minorEastAsia" w:hAnsiTheme="minorEastAsia" w:eastAsiaTheme="minorEastAsia" w:cstheme="minorEastAsia"/>
              </w:rPr>
              <w:t>.00</w:t>
            </w:r>
          </w:p>
        </w:tc>
        <w:tc>
          <w:tcPr>
            <w:tcW w:w="1216" w:type="dxa"/>
            <w:vAlign w:val="center"/>
          </w:tcPr>
          <w:p w14:paraId="663CE1DC">
            <w:pPr>
              <w:pStyle w:val="25"/>
              <w:jc w:val="center"/>
              <w:rPr>
                <w:rFonts w:hint="default" w:asciiTheme="minorEastAsia" w:hAnsiTheme="minorEastAsia" w:eastAsiaTheme="minorEastAsia" w:cstheme="minorEastAsia"/>
                <w:lang w:eastAsia="zh-CN"/>
              </w:rPr>
            </w:pPr>
            <w:r>
              <w:rPr>
                <w:rFonts w:asciiTheme="minorEastAsia" w:hAnsiTheme="minorEastAsia" w:eastAsiaTheme="minorEastAsia" w:cstheme="minorEastAsia"/>
                <w:lang w:eastAsia="zh-CN"/>
              </w:rPr>
              <w:t>44,900.00</w:t>
            </w:r>
          </w:p>
        </w:tc>
        <w:tc>
          <w:tcPr>
            <w:tcW w:w="1301" w:type="dxa"/>
            <w:vAlign w:val="center"/>
          </w:tcPr>
          <w:p w14:paraId="67C4F94D">
            <w:pPr>
              <w:pStyle w:val="25"/>
              <w:jc w:val="center"/>
              <w:rPr>
                <w:rFonts w:hint="default" w:asciiTheme="minorEastAsia" w:hAnsiTheme="minorEastAsia" w:eastAsiaTheme="minorEastAsia" w:cstheme="minorEastAsia"/>
                <w:lang w:eastAsia="zh-CN"/>
              </w:rPr>
            </w:pPr>
            <w:r>
              <w:rPr>
                <w:rFonts w:asciiTheme="minorEastAsia" w:hAnsiTheme="minorEastAsia" w:eastAsiaTheme="minorEastAsia" w:cstheme="minorEastAsia"/>
                <w:lang w:eastAsia="zh-CN"/>
              </w:rPr>
              <w:t>89,800.00</w:t>
            </w:r>
          </w:p>
        </w:tc>
        <w:tc>
          <w:tcPr>
            <w:tcW w:w="844" w:type="dxa"/>
            <w:vAlign w:val="center"/>
          </w:tcPr>
          <w:p w14:paraId="4B2D6CA5">
            <w:pPr>
              <w:pStyle w:val="25"/>
              <w:jc w:val="center"/>
              <w:rPr>
                <w:rFonts w:hint="default" w:asciiTheme="minorEastAsia" w:hAnsiTheme="minorEastAsia" w:eastAsiaTheme="minorEastAsia" w:cstheme="minorEastAsia"/>
                <w:lang w:eastAsia="zh-CN"/>
              </w:rPr>
            </w:pPr>
            <w:r>
              <w:rPr>
                <w:rFonts w:asciiTheme="minorEastAsia" w:hAnsiTheme="minorEastAsia" w:eastAsiaTheme="minorEastAsia" w:cstheme="minorEastAsia"/>
                <w:lang w:eastAsia="zh-CN"/>
              </w:rPr>
              <w:t>工业</w:t>
            </w:r>
          </w:p>
        </w:tc>
        <w:tc>
          <w:tcPr>
            <w:tcW w:w="964" w:type="dxa"/>
            <w:vAlign w:val="center"/>
          </w:tcPr>
          <w:p w14:paraId="01F81860">
            <w:pPr>
              <w:pStyle w:val="25"/>
              <w:jc w:val="center"/>
              <w:rPr>
                <w:rFonts w:hint="default" w:asciiTheme="minorEastAsia" w:hAnsiTheme="minorEastAsia" w:eastAsiaTheme="minorEastAsia" w:cstheme="minorEastAsia"/>
              </w:rPr>
            </w:pPr>
            <w:r>
              <w:rPr>
                <w:rFonts w:asciiTheme="minorEastAsia" w:hAnsiTheme="minorEastAsia" w:eastAsiaTheme="minorEastAsia" w:cstheme="minorEastAsia"/>
              </w:rPr>
              <w:t>详见附表一</w:t>
            </w:r>
          </w:p>
        </w:tc>
      </w:tr>
    </w:tbl>
    <w:p w14:paraId="5EF4B299">
      <w:pPr>
        <w:pStyle w:val="25"/>
        <w:rPr>
          <w:rFonts w:hint="default"/>
          <w:b/>
        </w:rPr>
      </w:pPr>
      <w:r>
        <w:rPr>
          <w:b/>
        </w:rPr>
        <w:t>附表一：</w:t>
      </w:r>
    </w:p>
    <w:tbl>
      <w:tblPr>
        <w:tblStyle w:val="20"/>
        <w:tblW w:w="9540" w:type="dxa"/>
        <w:tblInd w:w="-35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7"/>
        <w:gridCol w:w="576"/>
        <w:gridCol w:w="8247"/>
      </w:tblGrid>
      <w:tr w14:paraId="7A0E8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194E22B2">
            <w:pPr>
              <w:pStyle w:val="25"/>
              <w:spacing w:line="360" w:lineRule="auto"/>
              <w:rPr>
                <w:rFonts w:hint="default" w:ascii="宋体" w:hAnsi="宋体" w:cs="宋体"/>
              </w:rPr>
            </w:pPr>
            <w:r>
              <w:rPr>
                <w:rFonts w:ascii="宋体" w:hAnsi="宋体" w:cs="宋体"/>
              </w:rPr>
              <w:t>参数性质</w:t>
            </w:r>
          </w:p>
        </w:tc>
        <w:tc>
          <w:tcPr>
            <w:tcW w:w="576" w:type="dxa"/>
          </w:tcPr>
          <w:p w14:paraId="7201C65D">
            <w:pPr>
              <w:pStyle w:val="25"/>
              <w:spacing w:line="360" w:lineRule="auto"/>
              <w:rPr>
                <w:rFonts w:hint="default" w:ascii="宋体" w:hAnsi="宋体" w:cs="宋体"/>
              </w:rPr>
            </w:pPr>
            <w:r>
              <w:rPr>
                <w:rFonts w:ascii="宋体" w:hAnsi="宋体" w:cs="宋体"/>
              </w:rPr>
              <w:t>序号</w:t>
            </w:r>
          </w:p>
        </w:tc>
        <w:tc>
          <w:tcPr>
            <w:tcW w:w="8247" w:type="dxa"/>
          </w:tcPr>
          <w:p w14:paraId="1C6E6299">
            <w:pPr>
              <w:pStyle w:val="25"/>
              <w:spacing w:line="360" w:lineRule="auto"/>
              <w:rPr>
                <w:rFonts w:hint="default" w:ascii="宋体" w:hAnsi="宋体" w:cs="宋体"/>
              </w:rPr>
            </w:pPr>
            <w:r>
              <w:rPr>
                <w:rFonts w:ascii="宋体" w:hAnsi="宋体" w:cs="宋体"/>
              </w:rPr>
              <w:t>具体技术(参数)要求</w:t>
            </w:r>
          </w:p>
        </w:tc>
      </w:tr>
      <w:tr w14:paraId="32D8B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15AC0D57">
            <w:pPr>
              <w:spacing w:line="360" w:lineRule="auto"/>
              <w:rPr>
                <w:rFonts w:ascii="宋体" w:hAnsi="宋体" w:cs="宋体"/>
                <w:sz w:val="20"/>
                <w:szCs w:val="20"/>
              </w:rPr>
            </w:pPr>
          </w:p>
        </w:tc>
        <w:tc>
          <w:tcPr>
            <w:tcW w:w="576" w:type="dxa"/>
          </w:tcPr>
          <w:p w14:paraId="70D08B62">
            <w:pPr>
              <w:pStyle w:val="25"/>
              <w:spacing w:line="360" w:lineRule="auto"/>
              <w:rPr>
                <w:rFonts w:hint="default" w:ascii="宋体" w:hAnsi="宋体" w:cs="宋体"/>
                <w:lang w:eastAsia="zh-CN"/>
              </w:rPr>
            </w:pPr>
            <w:r>
              <w:rPr>
                <w:rFonts w:ascii="宋体" w:hAnsi="宋体" w:cs="宋体"/>
                <w:lang w:eastAsia="zh-CN"/>
              </w:rPr>
              <w:t>1</w:t>
            </w:r>
          </w:p>
        </w:tc>
        <w:tc>
          <w:tcPr>
            <w:tcW w:w="8247" w:type="dxa"/>
            <w:shd w:val="clear" w:color="auto" w:fill="auto"/>
            <w:vAlign w:val="center"/>
          </w:tcPr>
          <w:p w14:paraId="580DFEC5">
            <w:pPr>
              <w:pStyle w:val="2"/>
              <w:rPr>
                <w:rFonts w:ascii="宋体" w:hAnsi="宋体" w:cs="宋体"/>
                <w:b/>
                <w:bCs/>
                <w:kern w:val="2"/>
                <w:sz w:val="20"/>
              </w:rPr>
            </w:pPr>
            <w:r>
              <w:rPr>
                <w:rFonts w:hint="eastAsia" w:ascii="宋体" w:hAnsi="宋体" w:cs="宋体"/>
                <w:b/>
                <w:bCs/>
                <w:kern w:val="2"/>
                <w:sz w:val="20"/>
              </w:rPr>
              <w:t>采购项目的基本信息：</w:t>
            </w:r>
          </w:p>
          <w:p w14:paraId="38FDF64E">
            <w:pPr>
              <w:pStyle w:val="2"/>
              <w:rPr>
                <w:rFonts w:ascii="宋体" w:hAnsi="宋体" w:cs="宋体"/>
                <w:kern w:val="2"/>
                <w:sz w:val="20"/>
              </w:rPr>
            </w:pPr>
            <w:r>
              <w:rPr>
                <w:rFonts w:hint="eastAsia" w:ascii="宋体" w:hAnsi="宋体" w:cs="宋体"/>
                <w:kern w:val="2"/>
                <w:sz w:val="20"/>
              </w:rPr>
              <w:t>（一）设备需要实现的功能和目标：用于早产儿或病弱儿的培养成长，新生儿高胆红素血症的光照治疗。</w:t>
            </w:r>
          </w:p>
          <w:p w14:paraId="1BF514FE">
            <w:pPr>
              <w:pStyle w:val="2"/>
              <w:rPr>
                <w:rFonts w:ascii="宋体" w:hAnsi="宋体" w:cs="宋体"/>
                <w:kern w:val="2"/>
                <w:sz w:val="20"/>
              </w:rPr>
            </w:pPr>
            <w:r>
              <w:rPr>
                <w:rFonts w:hint="eastAsia" w:ascii="宋体" w:hAnsi="宋体" w:cs="宋体"/>
                <w:kern w:val="2"/>
                <w:sz w:val="20"/>
              </w:rPr>
              <w:t xml:space="preserve">（二）预算单价：4.49万元 </w:t>
            </w:r>
          </w:p>
          <w:p w14:paraId="26CD3BA8">
            <w:pPr>
              <w:pStyle w:val="2"/>
              <w:rPr>
                <w:rFonts w:ascii="宋体" w:hAnsi="宋体" w:cs="宋体"/>
                <w:kern w:val="2"/>
                <w:sz w:val="20"/>
              </w:rPr>
            </w:pPr>
            <w:r>
              <w:rPr>
                <w:rFonts w:hint="eastAsia" w:ascii="宋体" w:hAnsi="宋体" w:cs="宋体"/>
                <w:kern w:val="2"/>
                <w:sz w:val="20"/>
              </w:rPr>
              <w:t>（三）数量：2套</w:t>
            </w:r>
          </w:p>
          <w:p w14:paraId="3AEECFA2">
            <w:pPr>
              <w:pStyle w:val="2"/>
              <w:rPr>
                <w:rFonts w:ascii="宋体" w:hAnsi="宋体" w:cs="宋体"/>
                <w:kern w:val="2"/>
                <w:sz w:val="20"/>
              </w:rPr>
            </w:pPr>
            <w:r>
              <w:rPr>
                <w:rFonts w:hint="eastAsia" w:ascii="宋体" w:hAnsi="宋体" w:cs="宋体"/>
                <w:kern w:val="2"/>
                <w:sz w:val="20"/>
              </w:rPr>
              <w:t>（四）预算总价：8.98万元</w:t>
            </w:r>
          </w:p>
        </w:tc>
      </w:tr>
      <w:tr w14:paraId="07378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3FC7A337">
            <w:pPr>
              <w:spacing w:line="360" w:lineRule="auto"/>
              <w:rPr>
                <w:rFonts w:ascii="宋体" w:hAnsi="宋体" w:cs="宋体"/>
                <w:sz w:val="20"/>
                <w:szCs w:val="20"/>
              </w:rPr>
            </w:pPr>
          </w:p>
        </w:tc>
        <w:tc>
          <w:tcPr>
            <w:tcW w:w="576" w:type="dxa"/>
          </w:tcPr>
          <w:p w14:paraId="1A6A35F5">
            <w:pPr>
              <w:pStyle w:val="25"/>
              <w:spacing w:line="360" w:lineRule="auto"/>
              <w:rPr>
                <w:rFonts w:hint="default" w:ascii="宋体" w:hAnsi="宋体" w:cs="宋体"/>
                <w:lang w:eastAsia="zh-CN"/>
              </w:rPr>
            </w:pPr>
            <w:r>
              <w:rPr>
                <w:rFonts w:ascii="宋体" w:hAnsi="宋体" w:cs="宋体"/>
                <w:lang w:eastAsia="zh-CN"/>
              </w:rPr>
              <w:t>2</w:t>
            </w:r>
          </w:p>
        </w:tc>
        <w:tc>
          <w:tcPr>
            <w:tcW w:w="8247" w:type="dxa"/>
            <w:shd w:val="clear" w:color="auto" w:fill="auto"/>
            <w:vAlign w:val="center"/>
          </w:tcPr>
          <w:p w14:paraId="23D3003F">
            <w:pPr>
              <w:rPr>
                <w:rFonts w:ascii="宋体" w:hAnsi="宋体" w:cs="宋体"/>
                <w:b/>
                <w:bCs/>
                <w:kern w:val="0"/>
                <w:sz w:val="20"/>
                <w:szCs w:val="20"/>
              </w:rPr>
            </w:pPr>
            <w:r>
              <w:rPr>
                <w:rFonts w:hint="eastAsia" w:ascii="宋体" w:hAnsi="宋体" w:cs="宋体"/>
                <w:b/>
                <w:bCs/>
                <w:kern w:val="0"/>
                <w:sz w:val="20"/>
                <w:szCs w:val="20"/>
              </w:rPr>
              <w:t>技术参数：</w:t>
            </w:r>
          </w:p>
          <w:p w14:paraId="3ABB2874">
            <w:pPr>
              <w:rPr>
                <w:rFonts w:ascii="宋体" w:hAnsi="宋体" w:cs="宋体"/>
                <w:kern w:val="0"/>
                <w:sz w:val="20"/>
                <w:szCs w:val="20"/>
              </w:rPr>
            </w:pPr>
            <w:r>
              <w:rPr>
                <w:rFonts w:hint="eastAsia" w:ascii="宋体" w:hAnsi="宋体" w:cs="宋体"/>
                <w:kern w:val="0"/>
                <w:sz w:val="20"/>
                <w:szCs w:val="20"/>
              </w:rPr>
              <w:t>1.★所投产品纳入医疗器械管理的，提供以下材料（如国家另有规定，则适用其规定）：第二类或第三类医疗器械产品，须提供产品合法有效的《中华人民共和国医疗器械注册证》扫描件，且所投产品型号必须与医疗器械注册证显示型号一致（注册证过期的，须提供网上可以查询的延期公告，如因其他特殊原因查询不到，须提供国家药品监督管理局受理的医疗器械注册延期通知书；涉及型号变更的须提供监督管理部门审核通过的变更文件）。第一类医疗器械产品，须提供产品《第一类医疗器械备案凭证》；</w:t>
            </w:r>
          </w:p>
          <w:p w14:paraId="1CE2D2E3">
            <w:pPr>
              <w:rPr>
                <w:rFonts w:ascii="宋体" w:hAnsi="宋体" w:cs="宋体"/>
                <w:kern w:val="0"/>
                <w:sz w:val="20"/>
                <w:szCs w:val="20"/>
              </w:rPr>
            </w:pPr>
            <w:r>
              <w:rPr>
                <w:rFonts w:hint="eastAsia" w:ascii="宋体" w:hAnsi="宋体" w:cs="宋体"/>
                <w:kern w:val="0"/>
                <w:sz w:val="20"/>
                <w:szCs w:val="20"/>
              </w:rPr>
              <w:t>2.用途：用于早产儿或病弱儿的培养成长，新生儿高胆红素血症的光照治疗。</w:t>
            </w:r>
          </w:p>
          <w:p w14:paraId="2627EFD8">
            <w:pPr>
              <w:rPr>
                <w:rFonts w:ascii="宋体" w:hAnsi="宋体" w:cs="宋体"/>
                <w:kern w:val="0"/>
                <w:sz w:val="20"/>
                <w:szCs w:val="20"/>
              </w:rPr>
            </w:pPr>
            <w:r>
              <w:rPr>
                <w:rFonts w:hint="eastAsia" w:ascii="宋体" w:hAnsi="宋体" w:cs="宋体"/>
                <w:kern w:val="0"/>
                <w:sz w:val="20"/>
                <w:szCs w:val="20"/>
              </w:rPr>
              <w:t>3.具备≥2种维度控制方式，至少包括：箱温、肤温等；</w:t>
            </w:r>
          </w:p>
          <w:p w14:paraId="4724C218">
            <w:pPr>
              <w:rPr>
                <w:rFonts w:ascii="宋体" w:hAnsi="宋体" w:cs="宋体"/>
                <w:kern w:val="0"/>
                <w:sz w:val="20"/>
                <w:szCs w:val="20"/>
              </w:rPr>
            </w:pPr>
            <w:r>
              <w:rPr>
                <w:rFonts w:hint="eastAsia" w:ascii="宋体" w:hAnsi="宋体" w:cs="宋体"/>
                <w:kern w:val="0"/>
                <w:sz w:val="20"/>
                <w:szCs w:val="20"/>
              </w:rPr>
              <w:t>4.箱温控温范围：至少包括25～37℃（跨越模式：至少包括37.1～38℃）；</w:t>
            </w:r>
          </w:p>
          <w:p w14:paraId="481E27D2">
            <w:pPr>
              <w:rPr>
                <w:rFonts w:ascii="宋体" w:hAnsi="宋体" w:cs="宋体"/>
                <w:kern w:val="0"/>
                <w:sz w:val="20"/>
                <w:szCs w:val="20"/>
              </w:rPr>
            </w:pPr>
            <w:r>
              <w:rPr>
                <w:rFonts w:hint="eastAsia" w:ascii="宋体" w:hAnsi="宋体" w:cs="宋体"/>
                <w:kern w:val="0"/>
                <w:sz w:val="20"/>
                <w:szCs w:val="20"/>
              </w:rPr>
              <w:t>5.肤温控温范围：至少包括34～37℃（跨越模式：至少包括37.1～38℃）；</w:t>
            </w:r>
          </w:p>
          <w:p w14:paraId="14AF7A39">
            <w:pPr>
              <w:rPr>
                <w:rFonts w:ascii="宋体" w:hAnsi="宋体" w:cs="宋体"/>
                <w:kern w:val="0"/>
                <w:sz w:val="20"/>
                <w:szCs w:val="20"/>
              </w:rPr>
            </w:pPr>
            <w:r>
              <w:rPr>
                <w:rFonts w:hint="eastAsia" w:ascii="宋体" w:hAnsi="宋体" w:cs="宋体"/>
                <w:kern w:val="0"/>
                <w:sz w:val="20"/>
                <w:szCs w:val="20"/>
              </w:rPr>
              <w:t>6.温度显示范围：至少包括20～42℃；</w:t>
            </w:r>
          </w:p>
          <w:p w14:paraId="1D8BE674">
            <w:pPr>
              <w:rPr>
                <w:rFonts w:ascii="宋体" w:hAnsi="宋体" w:cs="宋体"/>
                <w:kern w:val="0"/>
                <w:sz w:val="20"/>
                <w:szCs w:val="20"/>
              </w:rPr>
            </w:pPr>
            <w:r>
              <w:rPr>
                <w:rFonts w:hint="eastAsia" w:ascii="宋体" w:hAnsi="宋体" w:cs="宋体"/>
                <w:kern w:val="0"/>
                <w:sz w:val="20"/>
                <w:szCs w:val="20"/>
              </w:rPr>
              <w:t>7.温度波动范围（培养箱温度与平均培养箱温度之差）：≤0.5℃；</w:t>
            </w:r>
          </w:p>
          <w:p w14:paraId="27F36C7F">
            <w:pPr>
              <w:rPr>
                <w:rFonts w:ascii="宋体" w:hAnsi="宋体" w:cs="宋体"/>
                <w:kern w:val="0"/>
                <w:sz w:val="20"/>
                <w:szCs w:val="20"/>
              </w:rPr>
            </w:pPr>
            <w:r>
              <w:rPr>
                <w:rFonts w:hint="eastAsia" w:ascii="宋体" w:hAnsi="宋体" w:cs="宋体"/>
                <w:kern w:val="0"/>
                <w:sz w:val="20"/>
                <w:szCs w:val="20"/>
              </w:rPr>
              <w:t>8.婴儿床温度均匀性：≤0.8℃；</w:t>
            </w:r>
          </w:p>
          <w:p w14:paraId="7E97C01F">
            <w:pPr>
              <w:rPr>
                <w:rFonts w:ascii="宋体" w:hAnsi="宋体" w:cs="宋体"/>
                <w:kern w:val="0"/>
                <w:sz w:val="20"/>
                <w:szCs w:val="20"/>
              </w:rPr>
            </w:pPr>
            <w:r>
              <w:rPr>
                <w:rFonts w:hint="eastAsia" w:ascii="宋体" w:hAnsi="宋体" w:cs="宋体"/>
                <w:kern w:val="0"/>
                <w:sz w:val="20"/>
                <w:szCs w:val="20"/>
              </w:rPr>
              <w:t>9.▲皮肤温度传感器精度（误差）：≤0.2℃；</w:t>
            </w:r>
          </w:p>
          <w:p w14:paraId="730F2DE2">
            <w:pPr>
              <w:rPr>
                <w:rFonts w:ascii="宋体" w:hAnsi="宋体" w:cs="宋体"/>
                <w:kern w:val="0"/>
                <w:sz w:val="20"/>
                <w:szCs w:val="20"/>
              </w:rPr>
            </w:pPr>
            <w:r>
              <w:rPr>
                <w:rFonts w:hint="eastAsia" w:ascii="宋体" w:hAnsi="宋体" w:cs="宋体"/>
                <w:kern w:val="0"/>
                <w:sz w:val="20"/>
                <w:szCs w:val="20"/>
              </w:rPr>
              <w:t>10.升温时间：≤30min（背景温度为22℃）；</w:t>
            </w:r>
          </w:p>
          <w:p w14:paraId="326D5399">
            <w:pPr>
              <w:rPr>
                <w:rFonts w:ascii="宋体" w:hAnsi="宋体" w:cs="宋体"/>
                <w:kern w:val="0"/>
                <w:sz w:val="20"/>
                <w:szCs w:val="20"/>
              </w:rPr>
            </w:pPr>
            <w:r>
              <w:rPr>
                <w:rFonts w:hint="eastAsia" w:ascii="宋体" w:hAnsi="宋体" w:cs="宋体"/>
                <w:kern w:val="0"/>
                <w:sz w:val="20"/>
                <w:szCs w:val="20"/>
              </w:rPr>
              <w:t>11.▲具备黄疸治疗装置：</w:t>
            </w:r>
          </w:p>
          <w:p w14:paraId="10A4B300">
            <w:pPr>
              <w:rPr>
                <w:rFonts w:ascii="宋体" w:hAnsi="宋体" w:cs="宋体"/>
                <w:kern w:val="0"/>
                <w:sz w:val="20"/>
                <w:szCs w:val="20"/>
              </w:rPr>
            </w:pPr>
            <w:r>
              <w:rPr>
                <w:rFonts w:hint="eastAsia" w:ascii="宋体" w:hAnsi="宋体" w:cs="宋体"/>
                <w:kern w:val="0"/>
                <w:sz w:val="20"/>
                <w:szCs w:val="20"/>
              </w:rPr>
              <w:t>11.1具备包围式光源布局：至少包括上、下两处光疗光源；</w:t>
            </w:r>
          </w:p>
          <w:p w14:paraId="0157EDE6">
            <w:pPr>
              <w:rPr>
                <w:rFonts w:ascii="宋体" w:hAnsi="宋体" w:cs="宋体"/>
                <w:kern w:val="0"/>
                <w:sz w:val="20"/>
                <w:szCs w:val="20"/>
              </w:rPr>
            </w:pPr>
            <w:r>
              <w:rPr>
                <w:rFonts w:hint="eastAsia" w:ascii="宋体" w:hAnsi="宋体" w:cs="宋体"/>
                <w:kern w:val="0"/>
                <w:sz w:val="20"/>
                <w:szCs w:val="20"/>
              </w:rPr>
              <w:t>11.2上光疗胆红素总辐照度最大值：≥4.5mW/cm2;</w:t>
            </w:r>
          </w:p>
          <w:p w14:paraId="44968DD3">
            <w:pPr>
              <w:rPr>
                <w:rFonts w:ascii="宋体" w:hAnsi="宋体" w:cs="宋体"/>
                <w:kern w:val="0"/>
                <w:sz w:val="20"/>
                <w:szCs w:val="20"/>
              </w:rPr>
            </w:pPr>
            <w:r>
              <w:rPr>
                <w:rFonts w:hint="eastAsia" w:ascii="宋体" w:hAnsi="宋体" w:cs="宋体"/>
                <w:kern w:val="0"/>
                <w:sz w:val="20"/>
                <w:szCs w:val="20"/>
              </w:rPr>
              <w:t>11.3下光疗胆红素总辐照度最大值：≥1.3mW/cm2；</w:t>
            </w:r>
          </w:p>
          <w:p w14:paraId="54DA41E6">
            <w:pPr>
              <w:rPr>
                <w:rFonts w:ascii="宋体" w:hAnsi="宋体" w:cs="宋体"/>
                <w:kern w:val="0"/>
                <w:sz w:val="20"/>
                <w:szCs w:val="20"/>
              </w:rPr>
            </w:pPr>
            <w:r>
              <w:rPr>
                <w:rFonts w:hint="eastAsia" w:ascii="宋体" w:hAnsi="宋体" w:cs="宋体"/>
                <w:kern w:val="0"/>
                <w:sz w:val="20"/>
                <w:szCs w:val="20"/>
              </w:rPr>
              <w:t>11.4蓝光亮度支持无级可调；</w:t>
            </w:r>
          </w:p>
          <w:p w14:paraId="14981828">
            <w:pPr>
              <w:rPr>
                <w:rFonts w:ascii="宋体" w:hAnsi="宋体" w:cs="宋体"/>
                <w:kern w:val="0"/>
                <w:sz w:val="20"/>
                <w:szCs w:val="20"/>
              </w:rPr>
            </w:pPr>
            <w:r>
              <w:rPr>
                <w:rFonts w:hint="eastAsia" w:ascii="宋体" w:hAnsi="宋体" w:cs="宋体"/>
                <w:kern w:val="0"/>
                <w:sz w:val="20"/>
                <w:szCs w:val="20"/>
              </w:rPr>
              <w:t xml:space="preserve">12.婴儿床倾斜角度支持无级可调； </w:t>
            </w:r>
          </w:p>
          <w:p w14:paraId="277C6A01">
            <w:pPr>
              <w:rPr>
                <w:rFonts w:ascii="宋体" w:hAnsi="宋体" w:cs="宋体"/>
                <w:kern w:val="0"/>
                <w:sz w:val="20"/>
                <w:szCs w:val="20"/>
              </w:rPr>
            </w:pPr>
            <w:r>
              <w:rPr>
                <w:rFonts w:hint="eastAsia" w:ascii="宋体" w:hAnsi="宋体" w:cs="宋体"/>
                <w:kern w:val="0"/>
                <w:sz w:val="20"/>
                <w:szCs w:val="20"/>
              </w:rPr>
              <w:t>13.具备集成式脉搏血氧监测功能：可进行新生儿危重先天性心脏病早期筛查；</w:t>
            </w:r>
          </w:p>
          <w:p w14:paraId="6B08493D">
            <w:pPr>
              <w:rPr>
                <w:rFonts w:ascii="宋体" w:hAnsi="宋体" w:cs="宋体"/>
                <w:kern w:val="0"/>
                <w:sz w:val="20"/>
                <w:szCs w:val="20"/>
              </w:rPr>
            </w:pPr>
            <w:r>
              <w:rPr>
                <w:rFonts w:hint="eastAsia" w:ascii="宋体" w:hAnsi="宋体" w:cs="宋体"/>
                <w:kern w:val="0"/>
                <w:sz w:val="20"/>
                <w:szCs w:val="20"/>
              </w:rPr>
              <w:t>13.1血氧显示范围：至少包括10%～100%，分辨率：≤1%；</w:t>
            </w:r>
          </w:p>
          <w:p w14:paraId="05F85153">
            <w:pPr>
              <w:rPr>
                <w:rFonts w:ascii="宋体" w:hAnsi="宋体" w:cs="宋体"/>
                <w:kern w:val="0"/>
                <w:sz w:val="20"/>
                <w:szCs w:val="20"/>
              </w:rPr>
            </w:pPr>
            <w:r>
              <w:rPr>
                <w:rFonts w:hint="eastAsia" w:ascii="宋体" w:hAnsi="宋体" w:cs="宋体"/>
                <w:kern w:val="0"/>
                <w:sz w:val="20"/>
                <w:szCs w:val="20"/>
              </w:rPr>
              <w:t>13.2血氧测量精度（误差）：≤3%（在70%～100%内时）；</w:t>
            </w:r>
          </w:p>
          <w:p w14:paraId="6F8D5159">
            <w:pPr>
              <w:rPr>
                <w:rFonts w:ascii="宋体" w:hAnsi="宋体" w:cs="宋体"/>
                <w:kern w:val="0"/>
                <w:sz w:val="20"/>
                <w:szCs w:val="20"/>
              </w:rPr>
            </w:pPr>
            <w:r>
              <w:rPr>
                <w:rFonts w:hint="eastAsia" w:ascii="宋体" w:hAnsi="宋体" w:cs="宋体"/>
                <w:kern w:val="0"/>
                <w:sz w:val="20"/>
                <w:szCs w:val="20"/>
              </w:rPr>
              <w:t>13.3脉搏测量范围：至少包括25～240bpm，分辨率：≤1bpm；</w:t>
            </w:r>
          </w:p>
          <w:p w14:paraId="4BD1008D">
            <w:pPr>
              <w:rPr>
                <w:rFonts w:ascii="宋体" w:hAnsi="宋体" w:cs="宋体"/>
                <w:kern w:val="0"/>
                <w:sz w:val="20"/>
                <w:szCs w:val="20"/>
              </w:rPr>
            </w:pPr>
            <w:r>
              <w:rPr>
                <w:rFonts w:hint="eastAsia" w:ascii="宋体" w:hAnsi="宋体" w:cs="宋体"/>
                <w:kern w:val="0"/>
                <w:sz w:val="20"/>
                <w:szCs w:val="20"/>
              </w:rPr>
              <w:t>13.4脉搏测量精度（误差）：≤3bpm（在30～240bpm内时）；</w:t>
            </w:r>
          </w:p>
          <w:p w14:paraId="25FF2688">
            <w:pPr>
              <w:rPr>
                <w:rFonts w:ascii="宋体" w:hAnsi="宋体" w:cs="宋体"/>
                <w:kern w:val="0"/>
                <w:sz w:val="20"/>
                <w:szCs w:val="20"/>
              </w:rPr>
            </w:pPr>
            <w:r>
              <w:rPr>
                <w:rFonts w:hint="eastAsia" w:ascii="宋体" w:hAnsi="宋体" w:cs="宋体"/>
                <w:kern w:val="0"/>
                <w:sz w:val="20"/>
                <w:szCs w:val="20"/>
              </w:rPr>
              <w:t>14.具备重量测量及显示功能，显示范围：至少包括200～8000g，精度（误差）：≤1%；</w:t>
            </w:r>
          </w:p>
          <w:p w14:paraId="18CC04C3">
            <w:pPr>
              <w:rPr>
                <w:rFonts w:ascii="宋体" w:hAnsi="宋体" w:cs="宋体"/>
                <w:kern w:val="0"/>
                <w:sz w:val="20"/>
                <w:szCs w:val="20"/>
              </w:rPr>
            </w:pPr>
            <w:r>
              <w:rPr>
                <w:rFonts w:hint="eastAsia" w:ascii="宋体" w:hAnsi="宋体" w:cs="宋体"/>
                <w:kern w:val="0"/>
                <w:sz w:val="20"/>
                <w:szCs w:val="20"/>
              </w:rPr>
              <w:t>15.具备可折叠托盘，最大承重量：≥2kg；</w:t>
            </w:r>
          </w:p>
          <w:p w14:paraId="0C37046F">
            <w:pPr>
              <w:rPr>
                <w:rFonts w:ascii="宋体" w:hAnsi="宋体" w:cs="宋体"/>
                <w:kern w:val="0"/>
                <w:sz w:val="20"/>
                <w:szCs w:val="20"/>
              </w:rPr>
            </w:pPr>
            <w:r>
              <w:rPr>
                <w:rFonts w:hint="eastAsia" w:ascii="宋体" w:hAnsi="宋体" w:cs="宋体"/>
                <w:kern w:val="0"/>
                <w:sz w:val="20"/>
                <w:szCs w:val="20"/>
              </w:rPr>
              <w:t>16.具备高通用型立柱支架，方便安装其他医疗设备；</w:t>
            </w:r>
          </w:p>
          <w:p w14:paraId="196163BB">
            <w:pPr>
              <w:rPr>
                <w:rFonts w:ascii="宋体" w:hAnsi="宋体" w:cs="宋体"/>
                <w:kern w:val="0"/>
                <w:sz w:val="20"/>
                <w:szCs w:val="20"/>
              </w:rPr>
            </w:pPr>
            <w:r>
              <w:rPr>
                <w:rFonts w:hint="eastAsia" w:ascii="宋体" w:hAnsi="宋体" w:cs="宋体"/>
                <w:kern w:val="0"/>
                <w:sz w:val="20"/>
                <w:szCs w:val="20"/>
              </w:rPr>
              <w:t>17.报警项目齐全：至少包括断电报警、传感器报警、上下偏差报警、温度报警、血氧报警、脉搏报警等；</w:t>
            </w:r>
          </w:p>
          <w:p w14:paraId="137FFFFE">
            <w:pPr>
              <w:rPr>
                <w:rFonts w:ascii="宋体" w:hAnsi="宋体" w:cs="宋体"/>
                <w:kern w:val="0"/>
                <w:sz w:val="20"/>
                <w:szCs w:val="20"/>
              </w:rPr>
            </w:pPr>
            <w:r>
              <w:rPr>
                <w:rFonts w:hint="eastAsia" w:ascii="宋体" w:hAnsi="宋体" w:cs="宋体"/>
                <w:kern w:val="0"/>
                <w:sz w:val="20"/>
                <w:szCs w:val="20"/>
              </w:rPr>
              <w:t>18.具备正门多重（≥2重）防护保险设计，避免意外打开；</w:t>
            </w:r>
          </w:p>
          <w:p w14:paraId="1C529BF0">
            <w:pPr>
              <w:rPr>
                <w:rFonts w:ascii="宋体" w:hAnsi="宋体" w:cs="宋体"/>
                <w:kern w:val="0"/>
                <w:sz w:val="20"/>
                <w:szCs w:val="20"/>
              </w:rPr>
            </w:pPr>
            <w:r>
              <w:rPr>
                <w:rFonts w:hint="eastAsia" w:ascii="宋体" w:hAnsi="宋体" w:cs="宋体"/>
                <w:kern w:val="0"/>
                <w:sz w:val="20"/>
                <w:szCs w:val="20"/>
              </w:rPr>
              <w:t>19.具有低噪音设计，内部噪声：≤45dB；</w:t>
            </w:r>
          </w:p>
          <w:p w14:paraId="17BC3CB8">
            <w:pPr>
              <w:rPr>
                <w:rFonts w:ascii="仿宋" w:hAnsi="仿宋" w:eastAsia="仿宋" w:cs="仿宋"/>
                <w:bCs/>
                <w:sz w:val="24"/>
              </w:rPr>
            </w:pPr>
            <w:r>
              <w:rPr>
                <w:rFonts w:hint="eastAsia" w:ascii="宋体" w:hAnsi="宋体" w:cs="宋体"/>
                <w:kern w:val="0"/>
                <w:sz w:val="20"/>
                <w:szCs w:val="20"/>
              </w:rPr>
              <w:t>20.▲配置需求:</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6"/>
              <w:gridCol w:w="4724"/>
              <w:gridCol w:w="645"/>
              <w:gridCol w:w="933"/>
              <w:gridCol w:w="933"/>
            </w:tblGrid>
            <w:tr w14:paraId="075C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0B1603BA">
                  <w:pPr>
                    <w:jc w:val="center"/>
                    <w:rPr>
                      <w:rFonts w:ascii="宋体" w:hAnsi="宋体" w:cs="宋体"/>
                      <w:kern w:val="0"/>
                      <w:sz w:val="20"/>
                      <w:szCs w:val="20"/>
                    </w:rPr>
                  </w:pPr>
                  <w:r>
                    <w:rPr>
                      <w:rFonts w:hint="eastAsia" w:ascii="宋体" w:hAnsi="宋体" w:cs="宋体"/>
                      <w:kern w:val="0"/>
                      <w:sz w:val="20"/>
                      <w:szCs w:val="20"/>
                    </w:rPr>
                    <w:t>序号</w:t>
                  </w:r>
                </w:p>
              </w:tc>
              <w:tc>
                <w:tcPr>
                  <w:tcW w:w="2943" w:type="pct"/>
                  <w:shd w:val="clear" w:color="auto" w:fill="auto"/>
                  <w:tcMar>
                    <w:top w:w="15" w:type="dxa"/>
                    <w:left w:w="15" w:type="dxa"/>
                    <w:right w:w="15" w:type="dxa"/>
                  </w:tcMar>
                  <w:vAlign w:val="center"/>
                </w:tcPr>
                <w:p w14:paraId="6D5B4546">
                  <w:pPr>
                    <w:jc w:val="center"/>
                    <w:rPr>
                      <w:rFonts w:ascii="宋体" w:hAnsi="宋体" w:cs="宋体"/>
                      <w:kern w:val="0"/>
                      <w:sz w:val="20"/>
                      <w:szCs w:val="20"/>
                    </w:rPr>
                  </w:pPr>
                  <w:r>
                    <w:rPr>
                      <w:rFonts w:hint="eastAsia" w:ascii="宋体" w:hAnsi="宋体" w:cs="宋体"/>
                      <w:kern w:val="0"/>
                      <w:sz w:val="20"/>
                      <w:szCs w:val="20"/>
                    </w:rPr>
                    <w:t>名称</w:t>
                  </w:r>
                </w:p>
              </w:tc>
              <w:tc>
                <w:tcPr>
                  <w:tcW w:w="402" w:type="pct"/>
                  <w:shd w:val="clear" w:color="auto" w:fill="auto"/>
                  <w:tcMar>
                    <w:top w:w="15" w:type="dxa"/>
                    <w:left w:w="15" w:type="dxa"/>
                    <w:right w:w="15" w:type="dxa"/>
                  </w:tcMar>
                  <w:vAlign w:val="center"/>
                </w:tcPr>
                <w:p w14:paraId="5BA449FF">
                  <w:pPr>
                    <w:jc w:val="center"/>
                    <w:rPr>
                      <w:rFonts w:ascii="宋体" w:hAnsi="宋体" w:cs="宋体"/>
                      <w:kern w:val="0"/>
                      <w:sz w:val="20"/>
                      <w:szCs w:val="20"/>
                    </w:rPr>
                  </w:pPr>
                  <w:r>
                    <w:rPr>
                      <w:rFonts w:hint="eastAsia" w:ascii="宋体" w:hAnsi="宋体" w:cs="宋体"/>
                      <w:kern w:val="0"/>
                      <w:sz w:val="20"/>
                      <w:szCs w:val="20"/>
                    </w:rPr>
                    <w:t>单位</w:t>
                  </w:r>
                </w:p>
              </w:tc>
              <w:tc>
                <w:tcPr>
                  <w:tcW w:w="581" w:type="pct"/>
                  <w:shd w:val="clear" w:color="auto" w:fill="auto"/>
                  <w:tcMar>
                    <w:top w:w="15" w:type="dxa"/>
                    <w:left w:w="15" w:type="dxa"/>
                    <w:right w:w="15" w:type="dxa"/>
                  </w:tcMar>
                  <w:vAlign w:val="center"/>
                </w:tcPr>
                <w:p w14:paraId="5636A993">
                  <w:pPr>
                    <w:jc w:val="center"/>
                    <w:rPr>
                      <w:rFonts w:ascii="宋体" w:hAnsi="宋体" w:cs="宋体"/>
                      <w:kern w:val="0"/>
                      <w:sz w:val="20"/>
                      <w:szCs w:val="20"/>
                    </w:rPr>
                  </w:pPr>
                  <w:r>
                    <w:rPr>
                      <w:rFonts w:hint="eastAsia" w:ascii="宋体" w:hAnsi="宋体" w:cs="宋体"/>
                      <w:kern w:val="0"/>
                      <w:sz w:val="20"/>
                      <w:szCs w:val="20"/>
                    </w:rPr>
                    <w:t>数量</w:t>
                  </w:r>
                </w:p>
              </w:tc>
              <w:tc>
                <w:tcPr>
                  <w:tcW w:w="581" w:type="pct"/>
                  <w:shd w:val="clear" w:color="auto" w:fill="auto"/>
                  <w:tcMar>
                    <w:top w:w="15" w:type="dxa"/>
                    <w:left w:w="15" w:type="dxa"/>
                    <w:right w:w="15" w:type="dxa"/>
                  </w:tcMar>
                  <w:vAlign w:val="center"/>
                </w:tcPr>
                <w:p w14:paraId="1D4EF3E4">
                  <w:pPr>
                    <w:jc w:val="center"/>
                    <w:rPr>
                      <w:rFonts w:ascii="宋体" w:hAnsi="宋体" w:cs="宋体"/>
                      <w:kern w:val="0"/>
                      <w:sz w:val="20"/>
                      <w:szCs w:val="20"/>
                    </w:rPr>
                  </w:pPr>
                  <w:r>
                    <w:rPr>
                      <w:rFonts w:hint="eastAsia" w:ascii="宋体" w:hAnsi="宋体" w:cs="宋体"/>
                      <w:kern w:val="0"/>
                      <w:sz w:val="20"/>
                      <w:szCs w:val="20"/>
                    </w:rPr>
                    <w:t>备注</w:t>
                  </w:r>
                </w:p>
              </w:tc>
            </w:tr>
            <w:tr w14:paraId="4B91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1AB068DE">
                  <w:pPr>
                    <w:jc w:val="center"/>
                    <w:rPr>
                      <w:rFonts w:ascii="宋体" w:hAnsi="宋体" w:cs="宋体"/>
                      <w:kern w:val="0"/>
                      <w:sz w:val="20"/>
                      <w:szCs w:val="20"/>
                    </w:rPr>
                  </w:pPr>
                  <w:r>
                    <w:rPr>
                      <w:rFonts w:hint="eastAsia" w:ascii="宋体" w:hAnsi="宋体" w:cs="宋体"/>
                      <w:kern w:val="0"/>
                      <w:sz w:val="20"/>
                      <w:szCs w:val="20"/>
                    </w:rPr>
                    <w:t>1</w:t>
                  </w:r>
                </w:p>
              </w:tc>
              <w:tc>
                <w:tcPr>
                  <w:tcW w:w="2943" w:type="pct"/>
                  <w:shd w:val="clear" w:color="auto" w:fill="auto"/>
                  <w:tcMar>
                    <w:top w:w="15" w:type="dxa"/>
                    <w:left w:w="15" w:type="dxa"/>
                    <w:right w:w="15" w:type="dxa"/>
                  </w:tcMar>
                  <w:vAlign w:val="center"/>
                </w:tcPr>
                <w:p w14:paraId="5650000E">
                  <w:pPr>
                    <w:jc w:val="center"/>
                    <w:rPr>
                      <w:rFonts w:ascii="宋体" w:hAnsi="宋体" w:cs="宋体"/>
                      <w:kern w:val="0"/>
                      <w:sz w:val="20"/>
                      <w:szCs w:val="20"/>
                    </w:rPr>
                  </w:pPr>
                  <w:r>
                    <w:rPr>
                      <w:rFonts w:hint="eastAsia" w:ascii="宋体" w:hAnsi="宋体" w:cs="宋体"/>
                      <w:kern w:val="0"/>
                      <w:sz w:val="20"/>
                      <w:szCs w:val="20"/>
                    </w:rPr>
                    <w:t>婴儿培养箱主机</w:t>
                  </w:r>
                </w:p>
              </w:tc>
              <w:tc>
                <w:tcPr>
                  <w:tcW w:w="402" w:type="pct"/>
                  <w:shd w:val="clear" w:color="auto" w:fill="auto"/>
                  <w:tcMar>
                    <w:top w:w="15" w:type="dxa"/>
                    <w:left w:w="15" w:type="dxa"/>
                    <w:right w:w="15" w:type="dxa"/>
                  </w:tcMar>
                  <w:vAlign w:val="center"/>
                </w:tcPr>
                <w:p w14:paraId="351811F8">
                  <w:pPr>
                    <w:jc w:val="center"/>
                    <w:rPr>
                      <w:rFonts w:ascii="宋体" w:hAnsi="宋体" w:cs="宋体"/>
                      <w:kern w:val="0"/>
                      <w:sz w:val="20"/>
                      <w:szCs w:val="20"/>
                    </w:rPr>
                  </w:pPr>
                  <w:r>
                    <w:rPr>
                      <w:rFonts w:hint="eastAsia" w:ascii="宋体" w:hAnsi="宋体" w:cs="宋体"/>
                      <w:kern w:val="0"/>
                      <w:sz w:val="20"/>
                      <w:szCs w:val="20"/>
                    </w:rPr>
                    <w:t>台</w:t>
                  </w:r>
                </w:p>
              </w:tc>
              <w:tc>
                <w:tcPr>
                  <w:tcW w:w="581" w:type="pct"/>
                  <w:shd w:val="clear" w:color="auto" w:fill="auto"/>
                  <w:tcMar>
                    <w:top w:w="15" w:type="dxa"/>
                    <w:left w:w="15" w:type="dxa"/>
                    <w:right w:w="15" w:type="dxa"/>
                  </w:tcMar>
                  <w:vAlign w:val="center"/>
                </w:tcPr>
                <w:p w14:paraId="47C8BB90">
                  <w:pPr>
                    <w:jc w:val="center"/>
                    <w:rPr>
                      <w:rFonts w:ascii="宋体" w:hAnsi="宋体" w:cs="宋体"/>
                      <w:kern w:val="0"/>
                      <w:sz w:val="20"/>
                      <w:szCs w:val="20"/>
                    </w:rPr>
                  </w:pPr>
                  <w:r>
                    <w:rPr>
                      <w:rFonts w:hint="eastAsia" w:ascii="宋体" w:hAnsi="宋体" w:cs="宋体"/>
                      <w:kern w:val="0"/>
                      <w:sz w:val="20"/>
                      <w:szCs w:val="20"/>
                    </w:rPr>
                    <w:t>1</w:t>
                  </w:r>
                </w:p>
              </w:tc>
              <w:tc>
                <w:tcPr>
                  <w:tcW w:w="581" w:type="pct"/>
                  <w:shd w:val="clear" w:color="auto" w:fill="auto"/>
                  <w:tcMar>
                    <w:top w:w="15" w:type="dxa"/>
                    <w:left w:w="15" w:type="dxa"/>
                    <w:right w:w="15" w:type="dxa"/>
                  </w:tcMar>
                  <w:vAlign w:val="center"/>
                </w:tcPr>
                <w:p w14:paraId="55EE668C">
                  <w:pPr>
                    <w:jc w:val="center"/>
                    <w:rPr>
                      <w:rFonts w:ascii="宋体" w:hAnsi="宋体" w:cs="宋体"/>
                      <w:kern w:val="0"/>
                      <w:sz w:val="20"/>
                      <w:szCs w:val="20"/>
                    </w:rPr>
                  </w:pPr>
                </w:p>
              </w:tc>
            </w:tr>
            <w:tr w14:paraId="102F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14ABAA89">
                  <w:pPr>
                    <w:jc w:val="center"/>
                    <w:rPr>
                      <w:rFonts w:ascii="宋体" w:hAnsi="宋体" w:cs="宋体"/>
                      <w:kern w:val="0"/>
                      <w:sz w:val="20"/>
                      <w:szCs w:val="20"/>
                    </w:rPr>
                  </w:pPr>
                  <w:r>
                    <w:rPr>
                      <w:rFonts w:hint="eastAsia" w:ascii="宋体" w:hAnsi="宋体" w:cs="宋体"/>
                      <w:kern w:val="0"/>
                      <w:sz w:val="20"/>
                      <w:szCs w:val="20"/>
                    </w:rPr>
                    <w:t>2</w:t>
                  </w:r>
                </w:p>
              </w:tc>
              <w:tc>
                <w:tcPr>
                  <w:tcW w:w="2943" w:type="pct"/>
                  <w:shd w:val="clear" w:color="auto" w:fill="auto"/>
                  <w:tcMar>
                    <w:top w:w="15" w:type="dxa"/>
                    <w:left w:w="15" w:type="dxa"/>
                    <w:right w:w="15" w:type="dxa"/>
                  </w:tcMar>
                  <w:vAlign w:val="center"/>
                </w:tcPr>
                <w:p w14:paraId="1494448B">
                  <w:pPr>
                    <w:jc w:val="center"/>
                    <w:rPr>
                      <w:rFonts w:ascii="宋体" w:hAnsi="宋体" w:cs="宋体"/>
                      <w:kern w:val="0"/>
                      <w:sz w:val="20"/>
                      <w:szCs w:val="20"/>
                    </w:rPr>
                  </w:pPr>
                  <w:r>
                    <w:rPr>
                      <w:rFonts w:hint="eastAsia" w:ascii="宋体" w:hAnsi="宋体" w:cs="宋体"/>
                      <w:kern w:val="0"/>
                      <w:sz w:val="20"/>
                      <w:szCs w:val="20"/>
                    </w:rPr>
                    <w:t>称重装置</w:t>
                  </w:r>
                </w:p>
              </w:tc>
              <w:tc>
                <w:tcPr>
                  <w:tcW w:w="402" w:type="pct"/>
                  <w:shd w:val="clear" w:color="auto" w:fill="auto"/>
                  <w:tcMar>
                    <w:top w:w="15" w:type="dxa"/>
                    <w:left w:w="15" w:type="dxa"/>
                    <w:right w:w="15" w:type="dxa"/>
                  </w:tcMar>
                  <w:vAlign w:val="center"/>
                </w:tcPr>
                <w:p w14:paraId="29E8048E">
                  <w:pPr>
                    <w:jc w:val="center"/>
                    <w:rPr>
                      <w:rFonts w:ascii="宋体" w:hAnsi="宋体" w:cs="宋体"/>
                      <w:kern w:val="0"/>
                      <w:sz w:val="20"/>
                      <w:szCs w:val="20"/>
                    </w:rPr>
                  </w:pPr>
                  <w:r>
                    <w:rPr>
                      <w:rFonts w:hint="eastAsia" w:ascii="宋体" w:hAnsi="宋体" w:cs="宋体"/>
                      <w:kern w:val="0"/>
                      <w:sz w:val="20"/>
                      <w:szCs w:val="20"/>
                    </w:rPr>
                    <w:t>件</w:t>
                  </w:r>
                </w:p>
              </w:tc>
              <w:tc>
                <w:tcPr>
                  <w:tcW w:w="581" w:type="pct"/>
                  <w:shd w:val="clear" w:color="auto" w:fill="auto"/>
                  <w:tcMar>
                    <w:top w:w="15" w:type="dxa"/>
                    <w:left w:w="15" w:type="dxa"/>
                    <w:right w:w="15" w:type="dxa"/>
                  </w:tcMar>
                  <w:vAlign w:val="center"/>
                </w:tcPr>
                <w:p w14:paraId="2FD5B3D1">
                  <w:pPr>
                    <w:jc w:val="center"/>
                    <w:rPr>
                      <w:rFonts w:ascii="宋体" w:hAnsi="宋体" w:cs="宋体"/>
                      <w:kern w:val="0"/>
                      <w:sz w:val="20"/>
                      <w:szCs w:val="20"/>
                    </w:rPr>
                  </w:pPr>
                  <w:r>
                    <w:rPr>
                      <w:rFonts w:hint="eastAsia" w:ascii="宋体" w:hAnsi="宋体" w:cs="宋体"/>
                      <w:kern w:val="0"/>
                      <w:sz w:val="20"/>
                      <w:szCs w:val="20"/>
                    </w:rPr>
                    <w:t>1</w:t>
                  </w:r>
                </w:p>
              </w:tc>
              <w:tc>
                <w:tcPr>
                  <w:tcW w:w="581" w:type="pct"/>
                  <w:shd w:val="clear" w:color="auto" w:fill="auto"/>
                  <w:tcMar>
                    <w:top w:w="15" w:type="dxa"/>
                    <w:left w:w="15" w:type="dxa"/>
                    <w:right w:w="15" w:type="dxa"/>
                  </w:tcMar>
                  <w:vAlign w:val="center"/>
                </w:tcPr>
                <w:p w14:paraId="3DE40497">
                  <w:pPr>
                    <w:jc w:val="center"/>
                    <w:rPr>
                      <w:rFonts w:ascii="宋体" w:hAnsi="宋体" w:cs="宋体"/>
                      <w:kern w:val="0"/>
                      <w:sz w:val="20"/>
                      <w:szCs w:val="20"/>
                    </w:rPr>
                  </w:pPr>
                </w:p>
              </w:tc>
            </w:tr>
            <w:tr w14:paraId="60AF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7B3A9BE9">
                  <w:pPr>
                    <w:jc w:val="center"/>
                    <w:rPr>
                      <w:rFonts w:ascii="宋体" w:hAnsi="宋体" w:cs="宋体"/>
                      <w:kern w:val="0"/>
                      <w:sz w:val="20"/>
                      <w:szCs w:val="20"/>
                    </w:rPr>
                  </w:pPr>
                  <w:r>
                    <w:rPr>
                      <w:rFonts w:hint="eastAsia" w:ascii="宋体" w:hAnsi="宋体" w:cs="宋体"/>
                      <w:kern w:val="0"/>
                      <w:sz w:val="20"/>
                      <w:szCs w:val="20"/>
                    </w:rPr>
                    <w:t>3</w:t>
                  </w:r>
                </w:p>
              </w:tc>
              <w:tc>
                <w:tcPr>
                  <w:tcW w:w="2943" w:type="pct"/>
                  <w:shd w:val="clear" w:color="auto" w:fill="auto"/>
                  <w:tcMar>
                    <w:top w:w="15" w:type="dxa"/>
                    <w:left w:w="15" w:type="dxa"/>
                    <w:right w:w="15" w:type="dxa"/>
                  </w:tcMar>
                  <w:vAlign w:val="center"/>
                </w:tcPr>
                <w:p w14:paraId="1F9C2CFA">
                  <w:pPr>
                    <w:jc w:val="center"/>
                    <w:rPr>
                      <w:rFonts w:ascii="宋体" w:hAnsi="宋体" w:cs="宋体"/>
                      <w:kern w:val="0"/>
                      <w:sz w:val="20"/>
                      <w:szCs w:val="20"/>
                    </w:rPr>
                  </w:pPr>
                  <w:r>
                    <w:rPr>
                      <w:rFonts w:hint="eastAsia" w:ascii="宋体" w:hAnsi="宋体" w:cs="宋体"/>
                      <w:kern w:val="0"/>
                      <w:sz w:val="20"/>
                      <w:szCs w:val="20"/>
                    </w:rPr>
                    <w:t>硅胶床垫</w:t>
                  </w:r>
                </w:p>
              </w:tc>
              <w:tc>
                <w:tcPr>
                  <w:tcW w:w="402" w:type="pct"/>
                  <w:shd w:val="clear" w:color="auto" w:fill="auto"/>
                  <w:tcMar>
                    <w:top w:w="15" w:type="dxa"/>
                    <w:left w:w="15" w:type="dxa"/>
                    <w:right w:w="15" w:type="dxa"/>
                  </w:tcMar>
                  <w:vAlign w:val="center"/>
                </w:tcPr>
                <w:p w14:paraId="5F64C3E3">
                  <w:pPr>
                    <w:jc w:val="center"/>
                    <w:rPr>
                      <w:rFonts w:ascii="宋体" w:hAnsi="宋体" w:cs="宋体"/>
                      <w:kern w:val="0"/>
                      <w:sz w:val="20"/>
                      <w:szCs w:val="20"/>
                    </w:rPr>
                  </w:pPr>
                  <w:r>
                    <w:rPr>
                      <w:rFonts w:hint="eastAsia" w:ascii="宋体" w:hAnsi="宋体" w:cs="宋体"/>
                      <w:kern w:val="0"/>
                      <w:sz w:val="20"/>
                      <w:szCs w:val="20"/>
                    </w:rPr>
                    <w:t>件</w:t>
                  </w:r>
                </w:p>
              </w:tc>
              <w:tc>
                <w:tcPr>
                  <w:tcW w:w="581" w:type="pct"/>
                  <w:shd w:val="clear" w:color="auto" w:fill="auto"/>
                  <w:tcMar>
                    <w:top w:w="15" w:type="dxa"/>
                    <w:left w:w="15" w:type="dxa"/>
                    <w:right w:w="15" w:type="dxa"/>
                  </w:tcMar>
                  <w:vAlign w:val="center"/>
                </w:tcPr>
                <w:p w14:paraId="0BB9D82F">
                  <w:pPr>
                    <w:jc w:val="center"/>
                    <w:rPr>
                      <w:rFonts w:ascii="宋体" w:hAnsi="宋体" w:cs="宋体"/>
                      <w:kern w:val="0"/>
                      <w:sz w:val="20"/>
                      <w:szCs w:val="20"/>
                    </w:rPr>
                  </w:pPr>
                  <w:r>
                    <w:rPr>
                      <w:rFonts w:hint="eastAsia" w:ascii="宋体" w:hAnsi="宋体" w:cs="宋体"/>
                      <w:kern w:val="0"/>
                      <w:sz w:val="20"/>
                      <w:szCs w:val="20"/>
                    </w:rPr>
                    <w:t>1</w:t>
                  </w:r>
                </w:p>
              </w:tc>
              <w:tc>
                <w:tcPr>
                  <w:tcW w:w="581" w:type="pct"/>
                  <w:shd w:val="clear" w:color="auto" w:fill="auto"/>
                  <w:tcMar>
                    <w:top w:w="15" w:type="dxa"/>
                    <w:left w:w="15" w:type="dxa"/>
                    <w:right w:w="15" w:type="dxa"/>
                  </w:tcMar>
                  <w:vAlign w:val="center"/>
                </w:tcPr>
                <w:p w14:paraId="135996ED">
                  <w:pPr>
                    <w:jc w:val="center"/>
                    <w:rPr>
                      <w:rFonts w:ascii="宋体" w:hAnsi="宋体" w:cs="宋体"/>
                      <w:kern w:val="0"/>
                      <w:sz w:val="20"/>
                      <w:szCs w:val="20"/>
                    </w:rPr>
                  </w:pPr>
                </w:p>
              </w:tc>
            </w:tr>
            <w:tr w14:paraId="29ED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63B81FA3">
                  <w:pPr>
                    <w:jc w:val="center"/>
                    <w:rPr>
                      <w:rFonts w:ascii="宋体" w:hAnsi="宋体" w:cs="宋体"/>
                      <w:kern w:val="0"/>
                      <w:sz w:val="20"/>
                      <w:szCs w:val="20"/>
                    </w:rPr>
                  </w:pPr>
                  <w:r>
                    <w:rPr>
                      <w:rFonts w:hint="eastAsia" w:ascii="宋体" w:hAnsi="宋体" w:cs="宋体"/>
                      <w:kern w:val="0"/>
                      <w:sz w:val="20"/>
                      <w:szCs w:val="20"/>
                    </w:rPr>
                    <w:t>4</w:t>
                  </w:r>
                </w:p>
              </w:tc>
              <w:tc>
                <w:tcPr>
                  <w:tcW w:w="2943" w:type="pct"/>
                  <w:shd w:val="clear" w:color="auto" w:fill="auto"/>
                  <w:tcMar>
                    <w:top w:w="15" w:type="dxa"/>
                    <w:left w:w="15" w:type="dxa"/>
                    <w:right w:w="15" w:type="dxa"/>
                  </w:tcMar>
                  <w:vAlign w:val="center"/>
                </w:tcPr>
                <w:p w14:paraId="6201DD0F">
                  <w:pPr>
                    <w:jc w:val="center"/>
                    <w:rPr>
                      <w:rFonts w:ascii="宋体" w:hAnsi="宋体" w:cs="宋体"/>
                      <w:kern w:val="0"/>
                      <w:sz w:val="20"/>
                      <w:szCs w:val="20"/>
                    </w:rPr>
                  </w:pPr>
                  <w:r>
                    <w:rPr>
                      <w:rFonts w:hint="eastAsia" w:ascii="宋体" w:hAnsi="宋体" w:cs="宋体"/>
                      <w:kern w:val="0"/>
                      <w:sz w:val="20"/>
                      <w:szCs w:val="20"/>
                    </w:rPr>
                    <w:t>可折叠托盘</w:t>
                  </w:r>
                </w:p>
              </w:tc>
              <w:tc>
                <w:tcPr>
                  <w:tcW w:w="402" w:type="pct"/>
                  <w:shd w:val="clear" w:color="auto" w:fill="auto"/>
                  <w:tcMar>
                    <w:top w:w="15" w:type="dxa"/>
                    <w:left w:w="15" w:type="dxa"/>
                    <w:right w:w="15" w:type="dxa"/>
                  </w:tcMar>
                  <w:vAlign w:val="center"/>
                </w:tcPr>
                <w:p w14:paraId="773E061F">
                  <w:pPr>
                    <w:jc w:val="center"/>
                    <w:rPr>
                      <w:rFonts w:ascii="宋体" w:hAnsi="宋体" w:cs="宋体"/>
                      <w:kern w:val="0"/>
                      <w:sz w:val="20"/>
                      <w:szCs w:val="20"/>
                    </w:rPr>
                  </w:pPr>
                  <w:r>
                    <w:rPr>
                      <w:rFonts w:hint="eastAsia" w:ascii="宋体" w:hAnsi="宋体" w:cs="宋体"/>
                      <w:kern w:val="0"/>
                      <w:sz w:val="20"/>
                      <w:szCs w:val="20"/>
                    </w:rPr>
                    <w:t>件</w:t>
                  </w:r>
                </w:p>
              </w:tc>
              <w:tc>
                <w:tcPr>
                  <w:tcW w:w="581" w:type="pct"/>
                  <w:shd w:val="clear" w:color="auto" w:fill="auto"/>
                  <w:tcMar>
                    <w:top w:w="15" w:type="dxa"/>
                    <w:left w:w="15" w:type="dxa"/>
                    <w:right w:w="15" w:type="dxa"/>
                  </w:tcMar>
                  <w:vAlign w:val="center"/>
                </w:tcPr>
                <w:p w14:paraId="33E17EB6">
                  <w:pPr>
                    <w:jc w:val="center"/>
                    <w:rPr>
                      <w:rFonts w:ascii="宋体" w:hAnsi="宋体" w:cs="宋体"/>
                      <w:kern w:val="0"/>
                      <w:sz w:val="20"/>
                      <w:szCs w:val="20"/>
                    </w:rPr>
                  </w:pPr>
                  <w:r>
                    <w:rPr>
                      <w:rFonts w:hint="eastAsia" w:ascii="宋体" w:hAnsi="宋体" w:cs="宋体"/>
                      <w:kern w:val="0"/>
                      <w:sz w:val="20"/>
                      <w:szCs w:val="20"/>
                    </w:rPr>
                    <w:t>1</w:t>
                  </w:r>
                </w:p>
              </w:tc>
              <w:tc>
                <w:tcPr>
                  <w:tcW w:w="581" w:type="pct"/>
                  <w:shd w:val="clear" w:color="auto" w:fill="auto"/>
                  <w:tcMar>
                    <w:top w:w="15" w:type="dxa"/>
                    <w:left w:w="15" w:type="dxa"/>
                    <w:right w:w="15" w:type="dxa"/>
                  </w:tcMar>
                  <w:vAlign w:val="center"/>
                </w:tcPr>
                <w:p w14:paraId="21923F5D">
                  <w:pPr>
                    <w:jc w:val="center"/>
                    <w:rPr>
                      <w:rFonts w:ascii="宋体" w:hAnsi="宋体" w:cs="宋体"/>
                      <w:kern w:val="0"/>
                      <w:sz w:val="20"/>
                      <w:szCs w:val="20"/>
                    </w:rPr>
                  </w:pPr>
                </w:p>
              </w:tc>
            </w:tr>
            <w:tr w14:paraId="59CF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6C98A69A">
                  <w:pPr>
                    <w:jc w:val="center"/>
                    <w:rPr>
                      <w:rFonts w:ascii="宋体" w:hAnsi="宋体" w:cs="宋体"/>
                      <w:kern w:val="0"/>
                      <w:sz w:val="20"/>
                      <w:szCs w:val="20"/>
                    </w:rPr>
                  </w:pPr>
                  <w:r>
                    <w:rPr>
                      <w:rFonts w:hint="eastAsia" w:ascii="宋体" w:hAnsi="宋体" w:cs="宋体"/>
                      <w:kern w:val="0"/>
                      <w:sz w:val="20"/>
                      <w:szCs w:val="20"/>
                    </w:rPr>
                    <w:t>5</w:t>
                  </w:r>
                </w:p>
              </w:tc>
              <w:tc>
                <w:tcPr>
                  <w:tcW w:w="2943" w:type="pct"/>
                  <w:shd w:val="clear" w:color="auto" w:fill="auto"/>
                  <w:tcMar>
                    <w:top w:w="15" w:type="dxa"/>
                    <w:left w:w="15" w:type="dxa"/>
                    <w:right w:w="15" w:type="dxa"/>
                  </w:tcMar>
                  <w:vAlign w:val="center"/>
                </w:tcPr>
                <w:p w14:paraId="0E06D6E8">
                  <w:pPr>
                    <w:jc w:val="center"/>
                    <w:rPr>
                      <w:rFonts w:ascii="宋体" w:hAnsi="宋体" w:cs="宋体"/>
                      <w:kern w:val="0"/>
                      <w:sz w:val="20"/>
                      <w:szCs w:val="20"/>
                    </w:rPr>
                  </w:pPr>
                  <w:r>
                    <w:rPr>
                      <w:rFonts w:hint="eastAsia" w:ascii="宋体" w:hAnsi="宋体" w:cs="宋体"/>
                      <w:kern w:val="0"/>
                      <w:sz w:val="20"/>
                      <w:szCs w:val="20"/>
                    </w:rPr>
                    <w:t>黄疸治疗装置</w:t>
                  </w:r>
                </w:p>
              </w:tc>
              <w:tc>
                <w:tcPr>
                  <w:tcW w:w="402" w:type="pct"/>
                  <w:shd w:val="clear" w:color="auto" w:fill="auto"/>
                  <w:tcMar>
                    <w:top w:w="15" w:type="dxa"/>
                    <w:left w:w="15" w:type="dxa"/>
                    <w:right w:w="15" w:type="dxa"/>
                  </w:tcMar>
                  <w:vAlign w:val="center"/>
                </w:tcPr>
                <w:p w14:paraId="28180081">
                  <w:pPr>
                    <w:jc w:val="center"/>
                    <w:rPr>
                      <w:rFonts w:ascii="宋体" w:hAnsi="宋体" w:cs="宋体"/>
                      <w:kern w:val="0"/>
                      <w:sz w:val="20"/>
                      <w:szCs w:val="20"/>
                    </w:rPr>
                  </w:pPr>
                  <w:r>
                    <w:rPr>
                      <w:rFonts w:hint="eastAsia" w:ascii="宋体" w:hAnsi="宋体" w:cs="宋体"/>
                      <w:kern w:val="0"/>
                      <w:sz w:val="20"/>
                      <w:szCs w:val="20"/>
                    </w:rPr>
                    <w:t>套</w:t>
                  </w:r>
                </w:p>
              </w:tc>
              <w:tc>
                <w:tcPr>
                  <w:tcW w:w="581" w:type="pct"/>
                  <w:shd w:val="clear" w:color="auto" w:fill="auto"/>
                  <w:tcMar>
                    <w:top w:w="15" w:type="dxa"/>
                    <w:left w:w="15" w:type="dxa"/>
                    <w:right w:w="15" w:type="dxa"/>
                  </w:tcMar>
                  <w:vAlign w:val="center"/>
                </w:tcPr>
                <w:p w14:paraId="7EC38B67">
                  <w:pPr>
                    <w:jc w:val="center"/>
                    <w:rPr>
                      <w:rFonts w:ascii="宋体" w:hAnsi="宋体" w:cs="宋体"/>
                      <w:kern w:val="0"/>
                      <w:sz w:val="20"/>
                      <w:szCs w:val="20"/>
                    </w:rPr>
                  </w:pPr>
                  <w:r>
                    <w:rPr>
                      <w:rFonts w:hint="eastAsia" w:ascii="宋体" w:hAnsi="宋体" w:cs="宋体"/>
                      <w:kern w:val="0"/>
                      <w:sz w:val="20"/>
                      <w:szCs w:val="20"/>
                    </w:rPr>
                    <w:t>1</w:t>
                  </w:r>
                </w:p>
              </w:tc>
              <w:tc>
                <w:tcPr>
                  <w:tcW w:w="581" w:type="pct"/>
                  <w:shd w:val="clear" w:color="auto" w:fill="auto"/>
                  <w:tcMar>
                    <w:top w:w="15" w:type="dxa"/>
                    <w:left w:w="15" w:type="dxa"/>
                    <w:right w:w="15" w:type="dxa"/>
                  </w:tcMar>
                  <w:vAlign w:val="center"/>
                </w:tcPr>
                <w:p w14:paraId="22A05739">
                  <w:pPr>
                    <w:jc w:val="center"/>
                    <w:rPr>
                      <w:rFonts w:ascii="宋体" w:hAnsi="宋体" w:cs="宋体"/>
                      <w:kern w:val="0"/>
                      <w:sz w:val="20"/>
                      <w:szCs w:val="20"/>
                    </w:rPr>
                  </w:pPr>
                </w:p>
              </w:tc>
            </w:tr>
            <w:tr w14:paraId="6CD9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66B2BA26">
                  <w:pPr>
                    <w:jc w:val="center"/>
                    <w:rPr>
                      <w:rFonts w:ascii="宋体" w:hAnsi="宋体" w:cs="宋体"/>
                      <w:kern w:val="0"/>
                      <w:sz w:val="20"/>
                      <w:szCs w:val="20"/>
                    </w:rPr>
                  </w:pPr>
                  <w:r>
                    <w:rPr>
                      <w:rFonts w:hint="eastAsia" w:ascii="宋体" w:hAnsi="宋体" w:cs="宋体"/>
                      <w:kern w:val="0"/>
                      <w:sz w:val="20"/>
                      <w:szCs w:val="20"/>
                    </w:rPr>
                    <w:t>6</w:t>
                  </w:r>
                </w:p>
              </w:tc>
              <w:tc>
                <w:tcPr>
                  <w:tcW w:w="2943" w:type="pct"/>
                  <w:shd w:val="clear" w:color="auto" w:fill="auto"/>
                  <w:tcMar>
                    <w:top w:w="15" w:type="dxa"/>
                    <w:left w:w="15" w:type="dxa"/>
                    <w:right w:w="15" w:type="dxa"/>
                  </w:tcMar>
                  <w:vAlign w:val="center"/>
                </w:tcPr>
                <w:p w14:paraId="17A6C518">
                  <w:pPr>
                    <w:jc w:val="center"/>
                    <w:rPr>
                      <w:rFonts w:ascii="宋体" w:hAnsi="宋体" w:cs="宋体"/>
                      <w:kern w:val="0"/>
                      <w:sz w:val="20"/>
                      <w:szCs w:val="20"/>
                    </w:rPr>
                  </w:pPr>
                  <w:r>
                    <w:rPr>
                      <w:rFonts w:hint="eastAsia" w:ascii="宋体" w:hAnsi="宋体" w:cs="宋体"/>
                      <w:kern w:val="0"/>
                      <w:sz w:val="20"/>
                      <w:szCs w:val="20"/>
                    </w:rPr>
                    <w:t>立柱支架</w:t>
                  </w:r>
                </w:p>
              </w:tc>
              <w:tc>
                <w:tcPr>
                  <w:tcW w:w="402" w:type="pct"/>
                  <w:shd w:val="clear" w:color="auto" w:fill="auto"/>
                  <w:tcMar>
                    <w:top w:w="15" w:type="dxa"/>
                    <w:left w:w="15" w:type="dxa"/>
                    <w:right w:w="15" w:type="dxa"/>
                  </w:tcMar>
                  <w:vAlign w:val="center"/>
                </w:tcPr>
                <w:p w14:paraId="126DB762">
                  <w:pPr>
                    <w:jc w:val="center"/>
                    <w:rPr>
                      <w:rFonts w:ascii="宋体" w:hAnsi="宋体" w:cs="宋体"/>
                      <w:kern w:val="0"/>
                      <w:sz w:val="20"/>
                      <w:szCs w:val="20"/>
                    </w:rPr>
                  </w:pPr>
                  <w:r>
                    <w:rPr>
                      <w:rFonts w:hint="eastAsia" w:ascii="宋体" w:hAnsi="宋体" w:cs="宋体"/>
                      <w:kern w:val="0"/>
                      <w:sz w:val="20"/>
                      <w:szCs w:val="20"/>
                    </w:rPr>
                    <w:t>套</w:t>
                  </w:r>
                </w:p>
              </w:tc>
              <w:tc>
                <w:tcPr>
                  <w:tcW w:w="581" w:type="pct"/>
                  <w:shd w:val="clear" w:color="auto" w:fill="auto"/>
                  <w:tcMar>
                    <w:top w:w="15" w:type="dxa"/>
                    <w:left w:w="15" w:type="dxa"/>
                    <w:right w:w="15" w:type="dxa"/>
                  </w:tcMar>
                  <w:vAlign w:val="center"/>
                </w:tcPr>
                <w:p w14:paraId="470149DD">
                  <w:pPr>
                    <w:jc w:val="center"/>
                    <w:rPr>
                      <w:rFonts w:ascii="宋体" w:hAnsi="宋体" w:cs="宋体"/>
                      <w:kern w:val="0"/>
                      <w:sz w:val="20"/>
                      <w:szCs w:val="20"/>
                    </w:rPr>
                  </w:pPr>
                  <w:r>
                    <w:rPr>
                      <w:rFonts w:hint="eastAsia" w:ascii="宋体" w:hAnsi="宋体" w:cs="宋体"/>
                      <w:kern w:val="0"/>
                      <w:sz w:val="20"/>
                      <w:szCs w:val="20"/>
                    </w:rPr>
                    <w:t>2</w:t>
                  </w:r>
                </w:p>
              </w:tc>
              <w:tc>
                <w:tcPr>
                  <w:tcW w:w="581" w:type="pct"/>
                  <w:shd w:val="clear" w:color="auto" w:fill="auto"/>
                  <w:tcMar>
                    <w:top w:w="15" w:type="dxa"/>
                    <w:left w:w="15" w:type="dxa"/>
                    <w:right w:w="15" w:type="dxa"/>
                  </w:tcMar>
                  <w:vAlign w:val="center"/>
                </w:tcPr>
                <w:p w14:paraId="1D3E06AD">
                  <w:pPr>
                    <w:jc w:val="center"/>
                    <w:rPr>
                      <w:rFonts w:ascii="宋体" w:hAnsi="宋体" w:cs="宋体"/>
                      <w:kern w:val="0"/>
                      <w:sz w:val="20"/>
                      <w:szCs w:val="20"/>
                    </w:rPr>
                  </w:pPr>
                </w:p>
              </w:tc>
            </w:tr>
            <w:tr w14:paraId="1053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2EA82CCA">
                  <w:pPr>
                    <w:jc w:val="center"/>
                    <w:rPr>
                      <w:rFonts w:ascii="宋体" w:hAnsi="宋体" w:cs="宋体"/>
                      <w:kern w:val="0"/>
                      <w:sz w:val="20"/>
                      <w:szCs w:val="20"/>
                    </w:rPr>
                  </w:pPr>
                  <w:r>
                    <w:rPr>
                      <w:rFonts w:hint="eastAsia" w:ascii="宋体" w:hAnsi="宋体" w:cs="宋体"/>
                      <w:kern w:val="0"/>
                      <w:sz w:val="20"/>
                      <w:szCs w:val="20"/>
                    </w:rPr>
                    <w:t>7</w:t>
                  </w:r>
                </w:p>
              </w:tc>
              <w:tc>
                <w:tcPr>
                  <w:tcW w:w="2943" w:type="pct"/>
                  <w:shd w:val="clear" w:color="auto" w:fill="auto"/>
                  <w:tcMar>
                    <w:top w:w="15" w:type="dxa"/>
                    <w:left w:w="15" w:type="dxa"/>
                    <w:right w:w="15" w:type="dxa"/>
                  </w:tcMar>
                  <w:vAlign w:val="center"/>
                </w:tcPr>
                <w:p w14:paraId="4FA219B3">
                  <w:pPr>
                    <w:jc w:val="center"/>
                    <w:rPr>
                      <w:rFonts w:ascii="宋体" w:hAnsi="宋体" w:cs="宋体"/>
                      <w:kern w:val="0"/>
                      <w:sz w:val="20"/>
                      <w:szCs w:val="20"/>
                    </w:rPr>
                  </w:pPr>
                  <w:r>
                    <w:rPr>
                      <w:rFonts w:hint="eastAsia" w:ascii="宋体" w:hAnsi="宋体" w:cs="宋体"/>
                      <w:kern w:val="0"/>
                      <w:sz w:val="20"/>
                      <w:szCs w:val="20"/>
                    </w:rPr>
                    <w:t>血氧传感器</w:t>
                  </w:r>
                </w:p>
              </w:tc>
              <w:tc>
                <w:tcPr>
                  <w:tcW w:w="402" w:type="pct"/>
                  <w:shd w:val="clear" w:color="auto" w:fill="auto"/>
                  <w:tcMar>
                    <w:top w:w="15" w:type="dxa"/>
                    <w:left w:w="15" w:type="dxa"/>
                    <w:right w:w="15" w:type="dxa"/>
                  </w:tcMar>
                  <w:vAlign w:val="center"/>
                </w:tcPr>
                <w:p w14:paraId="552E9DD5">
                  <w:pPr>
                    <w:jc w:val="center"/>
                    <w:rPr>
                      <w:rFonts w:ascii="宋体" w:hAnsi="宋体" w:cs="宋体"/>
                      <w:kern w:val="0"/>
                      <w:sz w:val="20"/>
                      <w:szCs w:val="20"/>
                    </w:rPr>
                  </w:pPr>
                  <w:r>
                    <w:rPr>
                      <w:rFonts w:hint="eastAsia" w:ascii="宋体" w:hAnsi="宋体" w:cs="宋体"/>
                      <w:kern w:val="0"/>
                      <w:sz w:val="20"/>
                      <w:szCs w:val="20"/>
                    </w:rPr>
                    <w:t>套</w:t>
                  </w:r>
                </w:p>
              </w:tc>
              <w:tc>
                <w:tcPr>
                  <w:tcW w:w="581" w:type="pct"/>
                  <w:shd w:val="clear" w:color="auto" w:fill="auto"/>
                  <w:tcMar>
                    <w:top w:w="15" w:type="dxa"/>
                    <w:left w:w="15" w:type="dxa"/>
                    <w:right w:w="15" w:type="dxa"/>
                  </w:tcMar>
                  <w:vAlign w:val="center"/>
                </w:tcPr>
                <w:p w14:paraId="742D0565">
                  <w:pPr>
                    <w:jc w:val="center"/>
                    <w:rPr>
                      <w:rFonts w:ascii="宋体" w:hAnsi="宋体" w:cs="宋体"/>
                      <w:kern w:val="0"/>
                      <w:sz w:val="20"/>
                      <w:szCs w:val="20"/>
                    </w:rPr>
                  </w:pPr>
                  <w:r>
                    <w:rPr>
                      <w:rFonts w:hint="eastAsia" w:ascii="宋体" w:hAnsi="宋体" w:cs="宋体"/>
                      <w:kern w:val="0"/>
                      <w:sz w:val="20"/>
                      <w:szCs w:val="20"/>
                    </w:rPr>
                    <w:t>1</w:t>
                  </w:r>
                </w:p>
              </w:tc>
              <w:tc>
                <w:tcPr>
                  <w:tcW w:w="581" w:type="pct"/>
                  <w:shd w:val="clear" w:color="auto" w:fill="auto"/>
                  <w:tcMar>
                    <w:top w:w="15" w:type="dxa"/>
                    <w:left w:w="15" w:type="dxa"/>
                    <w:right w:w="15" w:type="dxa"/>
                  </w:tcMar>
                  <w:vAlign w:val="center"/>
                </w:tcPr>
                <w:p w14:paraId="4DD5DC98">
                  <w:pPr>
                    <w:jc w:val="center"/>
                    <w:rPr>
                      <w:rFonts w:ascii="宋体" w:hAnsi="宋体" w:cs="宋体"/>
                      <w:kern w:val="0"/>
                      <w:sz w:val="20"/>
                      <w:szCs w:val="20"/>
                    </w:rPr>
                  </w:pPr>
                </w:p>
              </w:tc>
            </w:tr>
            <w:tr w14:paraId="3A82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5BC486DB">
                  <w:pPr>
                    <w:jc w:val="center"/>
                    <w:rPr>
                      <w:rFonts w:ascii="宋体" w:hAnsi="宋体" w:cs="宋体"/>
                      <w:kern w:val="0"/>
                      <w:sz w:val="20"/>
                      <w:szCs w:val="20"/>
                    </w:rPr>
                  </w:pPr>
                  <w:r>
                    <w:rPr>
                      <w:rFonts w:hint="eastAsia" w:ascii="宋体" w:hAnsi="宋体" w:cs="宋体"/>
                      <w:kern w:val="0"/>
                      <w:sz w:val="20"/>
                      <w:szCs w:val="20"/>
                    </w:rPr>
                    <w:t>8</w:t>
                  </w:r>
                </w:p>
              </w:tc>
              <w:tc>
                <w:tcPr>
                  <w:tcW w:w="2943" w:type="pct"/>
                  <w:shd w:val="clear" w:color="auto" w:fill="auto"/>
                  <w:tcMar>
                    <w:top w:w="15" w:type="dxa"/>
                    <w:left w:w="15" w:type="dxa"/>
                    <w:right w:w="15" w:type="dxa"/>
                  </w:tcMar>
                  <w:vAlign w:val="center"/>
                </w:tcPr>
                <w:p w14:paraId="6AF872FB">
                  <w:pPr>
                    <w:jc w:val="center"/>
                    <w:rPr>
                      <w:rFonts w:ascii="宋体" w:hAnsi="宋体" w:cs="宋体"/>
                      <w:kern w:val="0"/>
                      <w:sz w:val="20"/>
                      <w:szCs w:val="20"/>
                    </w:rPr>
                  </w:pPr>
                  <w:r>
                    <w:rPr>
                      <w:rFonts w:hint="eastAsia" w:ascii="宋体" w:hAnsi="宋体" w:cs="宋体"/>
                      <w:kern w:val="0"/>
                      <w:sz w:val="20"/>
                      <w:szCs w:val="20"/>
                    </w:rPr>
                    <w:t>皮肤温度传感器</w:t>
                  </w:r>
                </w:p>
              </w:tc>
              <w:tc>
                <w:tcPr>
                  <w:tcW w:w="402" w:type="pct"/>
                  <w:shd w:val="clear" w:color="auto" w:fill="auto"/>
                  <w:tcMar>
                    <w:top w:w="15" w:type="dxa"/>
                    <w:left w:w="15" w:type="dxa"/>
                    <w:right w:w="15" w:type="dxa"/>
                  </w:tcMar>
                  <w:vAlign w:val="center"/>
                </w:tcPr>
                <w:p w14:paraId="23CE42DF">
                  <w:pPr>
                    <w:jc w:val="center"/>
                    <w:rPr>
                      <w:rFonts w:ascii="宋体" w:hAnsi="宋体" w:cs="宋体"/>
                      <w:kern w:val="0"/>
                      <w:sz w:val="20"/>
                      <w:szCs w:val="20"/>
                    </w:rPr>
                  </w:pPr>
                  <w:r>
                    <w:rPr>
                      <w:rFonts w:hint="eastAsia" w:ascii="宋体" w:hAnsi="宋体" w:cs="宋体"/>
                      <w:kern w:val="0"/>
                      <w:sz w:val="20"/>
                      <w:szCs w:val="20"/>
                    </w:rPr>
                    <w:t>套</w:t>
                  </w:r>
                </w:p>
              </w:tc>
              <w:tc>
                <w:tcPr>
                  <w:tcW w:w="581" w:type="pct"/>
                  <w:shd w:val="clear" w:color="auto" w:fill="auto"/>
                  <w:tcMar>
                    <w:top w:w="15" w:type="dxa"/>
                    <w:left w:w="15" w:type="dxa"/>
                    <w:right w:w="15" w:type="dxa"/>
                  </w:tcMar>
                  <w:vAlign w:val="center"/>
                </w:tcPr>
                <w:p w14:paraId="7613FCF2">
                  <w:pPr>
                    <w:jc w:val="center"/>
                    <w:rPr>
                      <w:rFonts w:ascii="宋体" w:hAnsi="宋体" w:cs="宋体"/>
                      <w:kern w:val="0"/>
                      <w:sz w:val="20"/>
                      <w:szCs w:val="20"/>
                    </w:rPr>
                  </w:pPr>
                  <w:r>
                    <w:rPr>
                      <w:rFonts w:hint="eastAsia" w:ascii="宋体" w:hAnsi="宋体" w:cs="宋体"/>
                      <w:kern w:val="0"/>
                      <w:sz w:val="20"/>
                      <w:szCs w:val="20"/>
                    </w:rPr>
                    <w:t>1</w:t>
                  </w:r>
                </w:p>
              </w:tc>
              <w:tc>
                <w:tcPr>
                  <w:tcW w:w="581" w:type="pct"/>
                  <w:shd w:val="clear" w:color="auto" w:fill="auto"/>
                  <w:tcMar>
                    <w:top w:w="15" w:type="dxa"/>
                    <w:left w:w="15" w:type="dxa"/>
                    <w:right w:w="15" w:type="dxa"/>
                  </w:tcMar>
                  <w:vAlign w:val="center"/>
                </w:tcPr>
                <w:p w14:paraId="5398A7CF">
                  <w:pPr>
                    <w:jc w:val="center"/>
                    <w:rPr>
                      <w:rFonts w:ascii="宋体" w:hAnsi="宋体" w:cs="宋体"/>
                      <w:kern w:val="0"/>
                      <w:sz w:val="20"/>
                      <w:szCs w:val="20"/>
                    </w:rPr>
                  </w:pPr>
                </w:p>
              </w:tc>
            </w:tr>
            <w:tr w14:paraId="4711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793B0156">
                  <w:pPr>
                    <w:jc w:val="center"/>
                    <w:rPr>
                      <w:rFonts w:ascii="宋体" w:hAnsi="宋体" w:cs="宋体"/>
                      <w:kern w:val="0"/>
                      <w:sz w:val="20"/>
                      <w:szCs w:val="20"/>
                    </w:rPr>
                  </w:pPr>
                  <w:r>
                    <w:rPr>
                      <w:rFonts w:hint="eastAsia" w:ascii="宋体" w:hAnsi="宋体" w:cs="宋体"/>
                      <w:kern w:val="0"/>
                      <w:sz w:val="20"/>
                      <w:szCs w:val="20"/>
                    </w:rPr>
                    <w:t>9</w:t>
                  </w:r>
                </w:p>
              </w:tc>
              <w:tc>
                <w:tcPr>
                  <w:tcW w:w="2943" w:type="pct"/>
                  <w:shd w:val="clear" w:color="auto" w:fill="auto"/>
                  <w:tcMar>
                    <w:top w:w="15" w:type="dxa"/>
                    <w:left w:w="15" w:type="dxa"/>
                    <w:right w:w="15" w:type="dxa"/>
                  </w:tcMar>
                  <w:vAlign w:val="center"/>
                </w:tcPr>
                <w:p w14:paraId="60D27A18">
                  <w:pPr>
                    <w:jc w:val="center"/>
                    <w:rPr>
                      <w:rFonts w:ascii="宋体" w:hAnsi="宋体" w:cs="宋体"/>
                      <w:kern w:val="0"/>
                      <w:sz w:val="20"/>
                      <w:szCs w:val="20"/>
                    </w:rPr>
                  </w:pPr>
                  <w:r>
                    <w:rPr>
                      <w:rFonts w:hint="eastAsia" w:ascii="宋体" w:hAnsi="宋体" w:cs="宋体"/>
                      <w:kern w:val="0"/>
                      <w:sz w:val="20"/>
                      <w:szCs w:val="20"/>
                    </w:rPr>
                    <w:t>空气过滤器</w:t>
                  </w:r>
                </w:p>
              </w:tc>
              <w:tc>
                <w:tcPr>
                  <w:tcW w:w="402" w:type="pct"/>
                  <w:shd w:val="clear" w:color="auto" w:fill="auto"/>
                  <w:tcMar>
                    <w:top w:w="15" w:type="dxa"/>
                    <w:left w:w="15" w:type="dxa"/>
                    <w:right w:w="15" w:type="dxa"/>
                  </w:tcMar>
                  <w:vAlign w:val="center"/>
                </w:tcPr>
                <w:p w14:paraId="12252427">
                  <w:pPr>
                    <w:jc w:val="center"/>
                    <w:rPr>
                      <w:rFonts w:ascii="宋体" w:hAnsi="宋体" w:cs="宋体"/>
                      <w:kern w:val="0"/>
                      <w:sz w:val="20"/>
                      <w:szCs w:val="20"/>
                    </w:rPr>
                  </w:pPr>
                  <w:r>
                    <w:rPr>
                      <w:rFonts w:hint="eastAsia" w:ascii="宋体" w:hAnsi="宋体" w:cs="宋体"/>
                      <w:kern w:val="0"/>
                      <w:sz w:val="20"/>
                      <w:szCs w:val="20"/>
                    </w:rPr>
                    <w:t>套</w:t>
                  </w:r>
                </w:p>
              </w:tc>
              <w:tc>
                <w:tcPr>
                  <w:tcW w:w="581" w:type="pct"/>
                  <w:shd w:val="clear" w:color="auto" w:fill="auto"/>
                  <w:tcMar>
                    <w:top w:w="15" w:type="dxa"/>
                    <w:left w:w="15" w:type="dxa"/>
                    <w:right w:w="15" w:type="dxa"/>
                  </w:tcMar>
                  <w:vAlign w:val="center"/>
                </w:tcPr>
                <w:p w14:paraId="154FB9F5">
                  <w:pPr>
                    <w:jc w:val="center"/>
                    <w:rPr>
                      <w:rFonts w:ascii="宋体" w:hAnsi="宋体" w:cs="宋体"/>
                      <w:kern w:val="0"/>
                      <w:sz w:val="20"/>
                      <w:szCs w:val="20"/>
                    </w:rPr>
                  </w:pPr>
                  <w:r>
                    <w:rPr>
                      <w:rFonts w:hint="eastAsia" w:ascii="宋体" w:hAnsi="宋体" w:cs="宋体"/>
                      <w:kern w:val="0"/>
                      <w:sz w:val="20"/>
                      <w:szCs w:val="20"/>
                    </w:rPr>
                    <w:t>1</w:t>
                  </w:r>
                </w:p>
              </w:tc>
              <w:tc>
                <w:tcPr>
                  <w:tcW w:w="581" w:type="pct"/>
                  <w:shd w:val="clear" w:color="auto" w:fill="auto"/>
                  <w:tcMar>
                    <w:top w:w="15" w:type="dxa"/>
                    <w:left w:w="15" w:type="dxa"/>
                    <w:right w:w="15" w:type="dxa"/>
                  </w:tcMar>
                  <w:vAlign w:val="center"/>
                </w:tcPr>
                <w:p w14:paraId="0A121CF4">
                  <w:pPr>
                    <w:jc w:val="center"/>
                    <w:rPr>
                      <w:rFonts w:ascii="宋体" w:hAnsi="宋体" w:cs="宋体"/>
                      <w:kern w:val="0"/>
                      <w:sz w:val="20"/>
                      <w:szCs w:val="20"/>
                    </w:rPr>
                  </w:pPr>
                </w:p>
              </w:tc>
            </w:tr>
            <w:tr w14:paraId="522B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5D17E97B">
                  <w:pPr>
                    <w:jc w:val="center"/>
                    <w:rPr>
                      <w:rFonts w:ascii="宋体" w:hAnsi="宋体" w:cs="宋体"/>
                      <w:kern w:val="0"/>
                      <w:sz w:val="20"/>
                      <w:szCs w:val="20"/>
                    </w:rPr>
                  </w:pPr>
                  <w:r>
                    <w:rPr>
                      <w:rFonts w:hint="eastAsia" w:ascii="宋体" w:hAnsi="宋体" w:cs="宋体"/>
                      <w:kern w:val="0"/>
                      <w:sz w:val="20"/>
                      <w:szCs w:val="20"/>
                    </w:rPr>
                    <w:t>10</w:t>
                  </w:r>
                </w:p>
              </w:tc>
              <w:tc>
                <w:tcPr>
                  <w:tcW w:w="2943" w:type="pct"/>
                  <w:shd w:val="clear" w:color="auto" w:fill="auto"/>
                  <w:tcMar>
                    <w:top w:w="15" w:type="dxa"/>
                    <w:left w:w="15" w:type="dxa"/>
                    <w:right w:w="15" w:type="dxa"/>
                  </w:tcMar>
                  <w:vAlign w:val="center"/>
                </w:tcPr>
                <w:p w14:paraId="77A4B09E">
                  <w:pPr>
                    <w:jc w:val="center"/>
                    <w:rPr>
                      <w:rFonts w:ascii="宋体" w:hAnsi="宋体" w:cs="宋体"/>
                      <w:kern w:val="0"/>
                      <w:sz w:val="20"/>
                      <w:szCs w:val="20"/>
                    </w:rPr>
                  </w:pPr>
                  <w:r>
                    <w:rPr>
                      <w:rFonts w:hint="eastAsia" w:ascii="宋体" w:hAnsi="宋体" w:cs="宋体"/>
                      <w:kern w:val="0"/>
                      <w:sz w:val="20"/>
                      <w:szCs w:val="20"/>
                    </w:rPr>
                    <w:t>窗口塑料保护套</w:t>
                  </w:r>
                </w:p>
              </w:tc>
              <w:tc>
                <w:tcPr>
                  <w:tcW w:w="402" w:type="pct"/>
                  <w:shd w:val="clear" w:color="auto" w:fill="auto"/>
                  <w:tcMar>
                    <w:top w:w="15" w:type="dxa"/>
                    <w:left w:w="15" w:type="dxa"/>
                    <w:right w:w="15" w:type="dxa"/>
                  </w:tcMar>
                  <w:vAlign w:val="center"/>
                </w:tcPr>
                <w:p w14:paraId="5B0B5607">
                  <w:pPr>
                    <w:jc w:val="center"/>
                    <w:rPr>
                      <w:rFonts w:ascii="宋体" w:hAnsi="宋体" w:cs="宋体"/>
                      <w:kern w:val="0"/>
                      <w:sz w:val="20"/>
                      <w:szCs w:val="20"/>
                    </w:rPr>
                  </w:pPr>
                  <w:r>
                    <w:rPr>
                      <w:rFonts w:hint="eastAsia" w:ascii="宋体" w:hAnsi="宋体" w:cs="宋体"/>
                      <w:kern w:val="0"/>
                      <w:sz w:val="20"/>
                      <w:szCs w:val="20"/>
                    </w:rPr>
                    <w:t>件</w:t>
                  </w:r>
                </w:p>
              </w:tc>
              <w:tc>
                <w:tcPr>
                  <w:tcW w:w="581" w:type="pct"/>
                  <w:shd w:val="clear" w:color="auto" w:fill="auto"/>
                  <w:tcMar>
                    <w:top w:w="15" w:type="dxa"/>
                    <w:left w:w="15" w:type="dxa"/>
                    <w:right w:w="15" w:type="dxa"/>
                  </w:tcMar>
                  <w:vAlign w:val="center"/>
                </w:tcPr>
                <w:p w14:paraId="1212D619">
                  <w:pPr>
                    <w:jc w:val="center"/>
                    <w:rPr>
                      <w:rFonts w:ascii="宋体" w:hAnsi="宋体" w:cs="宋体"/>
                      <w:kern w:val="0"/>
                      <w:sz w:val="20"/>
                      <w:szCs w:val="20"/>
                    </w:rPr>
                  </w:pPr>
                  <w:r>
                    <w:rPr>
                      <w:rFonts w:hint="eastAsia" w:ascii="宋体" w:hAnsi="宋体" w:cs="宋体"/>
                      <w:kern w:val="0"/>
                      <w:sz w:val="20"/>
                      <w:szCs w:val="20"/>
                    </w:rPr>
                    <w:t>6</w:t>
                  </w:r>
                </w:p>
              </w:tc>
              <w:tc>
                <w:tcPr>
                  <w:tcW w:w="581" w:type="pct"/>
                  <w:shd w:val="clear" w:color="auto" w:fill="auto"/>
                  <w:tcMar>
                    <w:top w:w="15" w:type="dxa"/>
                    <w:left w:w="15" w:type="dxa"/>
                    <w:right w:w="15" w:type="dxa"/>
                  </w:tcMar>
                  <w:vAlign w:val="center"/>
                </w:tcPr>
                <w:p w14:paraId="1199DA9C">
                  <w:pPr>
                    <w:jc w:val="center"/>
                    <w:rPr>
                      <w:rFonts w:ascii="宋体" w:hAnsi="宋体" w:cs="宋体"/>
                      <w:kern w:val="0"/>
                      <w:sz w:val="20"/>
                      <w:szCs w:val="20"/>
                    </w:rPr>
                  </w:pPr>
                </w:p>
              </w:tc>
            </w:tr>
            <w:tr w14:paraId="172B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490" w:type="pct"/>
                  <w:shd w:val="clear" w:color="auto" w:fill="auto"/>
                  <w:tcMar>
                    <w:top w:w="15" w:type="dxa"/>
                    <w:left w:w="15" w:type="dxa"/>
                    <w:right w:w="15" w:type="dxa"/>
                  </w:tcMar>
                  <w:vAlign w:val="center"/>
                </w:tcPr>
                <w:p w14:paraId="5CCEFF6C">
                  <w:pPr>
                    <w:jc w:val="center"/>
                    <w:rPr>
                      <w:rFonts w:ascii="宋体" w:hAnsi="宋体" w:cs="宋体"/>
                      <w:kern w:val="0"/>
                      <w:sz w:val="20"/>
                      <w:szCs w:val="20"/>
                    </w:rPr>
                  </w:pPr>
                  <w:r>
                    <w:rPr>
                      <w:rFonts w:hint="eastAsia" w:ascii="宋体" w:hAnsi="宋体" w:cs="宋体"/>
                      <w:kern w:val="0"/>
                      <w:sz w:val="20"/>
                      <w:szCs w:val="20"/>
                    </w:rPr>
                    <w:t>11</w:t>
                  </w:r>
                </w:p>
              </w:tc>
              <w:tc>
                <w:tcPr>
                  <w:tcW w:w="2943" w:type="pct"/>
                  <w:shd w:val="clear" w:color="auto" w:fill="auto"/>
                  <w:tcMar>
                    <w:top w:w="15" w:type="dxa"/>
                    <w:left w:w="15" w:type="dxa"/>
                    <w:right w:w="15" w:type="dxa"/>
                  </w:tcMar>
                  <w:vAlign w:val="center"/>
                </w:tcPr>
                <w:p w14:paraId="25E7C788">
                  <w:pPr>
                    <w:jc w:val="center"/>
                    <w:rPr>
                      <w:rFonts w:ascii="宋体" w:hAnsi="宋体" w:cs="宋体"/>
                      <w:kern w:val="0"/>
                      <w:sz w:val="20"/>
                      <w:szCs w:val="20"/>
                    </w:rPr>
                  </w:pPr>
                  <w:r>
                    <w:rPr>
                      <w:rFonts w:hint="eastAsia" w:ascii="宋体" w:hAnsi="宋体" w:cs="宋体"/>
                      <w:kern w:val="0"/>
                      <w:sz w:val="20"/>
                      <w:szCs w:val="20"/>
                    </w:rPr>
                    <w:t>说明书、保修卡、合格证、维修手册、设备快速操作指南等技术资料</w:t>
                  </w:r>
                </w:p>
              </w:tc>
              <w:tc>
                <w:tcPr>
                  <w:tcW w:w="402" w:type="pct"/>
                  <w:shd w:val="clear" w:color="auto" w:fill="auto"/>
                  <w:tcMar>
                    <w:top w:w="15" w:type="dxa"/>
                    <w:left w:w="15" w:type="dxa"/>
                    <w:right w:w="15" w:type="dxa"/>
                  </w:tcMar>
                  <w:vAlign w:val="center"/>
                </w:tcPr>
                <w:p w14:paraId="79C92342">
                  <w:pPr>
                    <w:jc w:val="center"/>
                    <w:rPr>
                      <w:rFonts w:ascii="宋体" w:hAnsi="宋体" w:cs="宋体"/>
                      <w:kern w:val="0"/>
                      <w:sz w:val="20"/>
                      <w:szCs w:val="20"/>
                    </w:rPr>
                  </w:pPr>
                  <w:r>
                    <w:rPr>
                      <w:rFonts w:hint="eastAsia" w:ascii="宋体" w:hAnsi="宋体" w:cs="宋体"/>
                      <w:kern w:val="0"/>
                      <w:sz w:val="20"/>
                      <w:szCs w:val="20"/>
                    </w:rPr>
                    <w:t>套</w:t>
                  </w:r>
                </w:p>
              </w:tc>
              <w:tc>
                <w:tcPr>
                  <w:tcW w:w="581" w:type="pct"/>
                  <w:shd w:val="clear" w:color="auto" w:fill="auto"/>
                  <w:tcMar>
                    <w:top w:w="15" w:type="dxa"/>
                    <w:left w:w="15" w:type="dxa"/>
                    <w:right w:w="15" w:type="dxa"/>
                  </w:tcMar>
                  <w:vAlign w:val="center"/>
                </w:tcPr>
                <w:p w14:paraId="587FF789">
                  <w:pPr>
                    <w:jc w:val="center"/>
                    <w:rPr>
                      <w:rFonts w:ascii="宋体" w:hAnsi="宋体" w:cs="宋体"/>
                      <w:kern w:val="0"/>
                      <w:sz w:val="20"/>
                      <w:szCs w:val="20"/>
                    </w:rPr>
                  </w:pPr>
                  <w:r>
                    <w:rPr>
                      <w:rFonts w:hint="eastAsia" w:ascii="宋体" w:hAnsi="宋体" w:cs="宋体"/>
                      <w:kern w:val="0"/>
                      <w:sz w:val="20"/>
                      <w:szCs w:val="20"/>
                    </w:rPr>
                    <w:t>1</w:t>
                  </w:r>
                </w:p>
              </w:tc>
              <w:tc>
                <w:tcPr>
                  <w:tcW w:w="581" w:type="pct"/>
                  <w:shd w:val="clear" w:color="auto" w:fill="auto"/>
                  <w:tcMar>
                    <w:top w:w="15" w:type="dxa"/>
                    <w:left w:w="15" w:type="dxa"/>
                    <w:right w:w="15" w:type="dxa"/>
                  </w:tcMar>
                  <w:vAlign w:val="center"/>
                </w:tcPr>
                <w:p w14:paraId="51440B56">
                  <w:pPr>
                    <w:jc w:val="center"/>
                    <w:rPr>
                      <w:rFonts w:ascii="宋体" w:hAnsi="宋体" w:cs="宋体"/>
                      <w:kern w:val="0"/>
                      <w:sz w:val="20"/>
                      <w:szCs w:val="20"/>
                    </w:rPr>
                  </w:pPr>
                </w:p>
              </w:tc>
            </w:tr>
          </w:tbl>
          <w:p w14:paraId="4AA1939E">
            <w:pPr>
              <w:pStyle w:val="2"/>
              <w:rPr>
                <w:rFonts w:ascii="宋体" w:hAnsi="宋体" w:cs="宋体"/>
                <w:kern w:val="2"/>
                <w:sz w:val="20"/>
              </w:rPr>
            </w:pPr>
          </w:p>
        </w:tc>
      </w:tr>
      <w:tr w14:paraId="4D9B3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7" w:type="dxa"/>
          </w:tcPr>
          <w:p w14:paraId="16C62B1A">
            <w:pPr>
              <w:pStyle w:val="25"/>
              <w:spacing w:line="360" w:lineRule="auto"/>
              <w:rPr>
                <w:rFonts w:hint="default" w:ascii="宋体" w:hAnsi="宋体" w:cs="宋体"/>
              </w:rPr>
            </w:pPr>
            <w:r>
              <w:rPr>
                <w:rFonts w:ascii="宋体" w:hAnsi="宋体" w:cs="宋体"/>
              </w:rPr>
              <w:t>说明</w:t>
            </w:r>
          </w:p>
        </w:tc>
        <w:tc>
          <w:tcPr>
            <w:tcW w:w="8823" w:type="dxa"/>
            <w:gridSpan w:val="2"/>
          </w:tcPr>
          <w:p w14:paraId="7614CAAB">
            <w:pPr>
              <w:pStyle w:val="25"/>
              <w:spacing w:line="360" w:lineRule="auto"/>
              <w:rPr>
                <w:rFonts w:hint="default" w:ascii="宋体" w:hAnsi="宋体" w:cs="宋体"/>
                <w:lang w:eastAsia="zh-CN"/>
              </w:rPr>
            </w:pPr>
            <w:r>
              <w:rPr>
                <w:rFonts w:ascii="宋体" w:hAnsi="宋体" w:cs="宋体"/>
                <w:lang w:eastAsia="zh-CN"/>
              </w:rPr>
              <w:t xml:space="preserve"> 打“★”号条款为实质性条款，若有任何一条负偏离或不满足则导致投标无效。 </w:t>
            </w:r>
            <w:r>
              <w:rPr>
                <w:rFonts w:ascii="宋体" w:hAnsi="宋体" w:cs="宋体"/>
                <w:lang w:eastAsia="zh-CN"/>
              </w:rPr>
              <w:br w:type="textWrapping"/>
            </w:r>
            <w:r>
              <w:rPr>
                <w:rFonts w:ascii="宋体" w:hAnsi="宋体" w:cs="宋体"/>
                <w:lang w:eastAsia="zh-CN"/>
              </w:rPr>
              <w:t>打“▲”号条款为重要技术参数，若有部分“▲”条款未响应或不满足，将导致其响应性评审加重扣分，但不作为无效投标条款。</w:t>
            </w:r>
          </w:p>
        </w:tc>
      </w:tr>
    </w:tbl>
    <w:p w14:paraId="23B461B4">
      <w:r>
        <w:rPr>
          <w:b/>
          <w:sz w:val="36"/>
        </w:rPr>
        <w:br w:type="page"/>
      </w:r>
    </w:p>
    <w:p w14:paraId="75F8AA6A">
      <w:pPr>
        <w:pStyle w:val="25"/>
        <w:jc w:val="center"/>
        <w:outlineLvl w:val="0"/>
        <w:rPr>
          <w:rFonts w:hint="default"/>
        </w:rPr>
      </w:pPr>
      <w:bookmarkStart w:id="7" w:name="_Toc31376"/>
      <w:r>
        <w:rPr>
          <w:b/>
          <w:sz w:val="36"/>
        </w:rPr>
        <w:t>第三章 投标人须知</w:t>
      </w:r>
      <w:bookmarkEnd w:id="7"/>
    </w:p>
    <w:p w14:paraId="0EB0CD3C">
      <w:pPr>
        <w:pStyle w:val="25"/>
        <w:ind w:firstLine="480"/>
        <w:rPr>
          <w:rFonts w:hint="default"/>
        </w:rPr>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17BD0D26">
      <w:pPr>
        <w:pStyle w:val="25"/>
        <w:outlineLvl w:val="3"/>
        <w:rPr>
          <w:rFonts w:hint="default"/>
        </w:rPr>
      </w:pPr>
      <w:r>
        <w:rPr>
          <w:b/>
          <w:sz w:val="24"/>
        </w:rPr>
        <w:t>一、名词解释</w:t>
      </w:r>
    </w:p>
    <w:p w14:paraId="5DC888DB">
      <w:pPr>
        <w:pStyle w:val="25"/>
        <w:ind w:firstLine="480"/>
        <w:rPr>
          <w:rFonts w:hint="default"/>
        </w:rPr>
      </w:pPr>
      <w:r>
        <w:t>1.采购代理机构：本项目是指</w:t>
      </w:r>
      <w:r>
        <w:rPr>
          <w:lang w:eastAsia="zh-CN"/>
        </w:rPr>
        <w:t>惠州市中弘咨询管理有限公司</w:t>
      </w:r>
      <w:r>
        <w:t>，负责整个采购活动的组织，依法负责编制和发布招标文件，对招标文件拥有最终的解释权，不以任何身份出任评标委员会成员。</w:t>
      </w:r>
    </w:p>
    <w:p w14:paraId="030A8518">
      <w:pPr>
        <w:pStyle w:val="25"/>
        <w:ind w:firstLine="480"/>
        <w:rPr>
          <w:rFonts w:hint="default"/>
        </w:rPr>
      </w:pPr>
      <w:r>
        <w:t>2.采购人：本项目是指</w:t>
      </w:r>
      <w:r>
        <w:rPr>
          <w:lang w:eastAsia="zh-CN"/>
        </w:rPr>
        <w:t>惠州市第一人民医院</w:t>
      </w:r>
      <w:r>
        <w:t>，是采购活动当事人之一，负责项目的整体规划、技术方案可行性设计论证与实施，作为合同</w:t>
      </w:r>
      <w:r>
        <w:rPr>
          <w:lang w:eastAsia="zh-CN"/>
        </w:rPr>
        <w:t>采购人</w:t>
      </w:r>
      <w:r>
        <w:t>（用户）的主体承担质疑回复、履行合同、验收与评价等义务。</w:t>
      </w:r>
    </w:p>
    <w:p w14:paraId="1A9DBD86">
      <w:pPr>
        <w:pStyle w:val="25"/>
        <w:ind w:firstLine="480"/>
        <w:rPr>
          <w:rFonts w:hint="default"/>
        </w:rPr>
      </w:pPr>
      <w:r>
        <w:t>3.投标人：是指完成本项目</w:t>
      </w:r>
      <w:r>
        <w:rPr>
          <w:lang w:eastAsia="zh-CN"/>
        </w:rPr>
        <w:t>报名</w:t>
      </w:r>
      <w:r>
        <w:t>登记并提交投标文件的供应商。</w:t>
      </w:r>
    </w:p>
    <w:p w14:paraId="55E28270">
      <w:pPr>
        <w:pStyle w:val="25"/>
        <w:ind w:firstLine="480"/>
        <w:rPr>
          <w:rFonts w:hint="default"/>
        </w:rPr>
      </w:pPr>
      <w:r>
        <w:t>4.“评标委员会”是指根据《中华人民共和国政府采购法》等法律法规规定，由采购人代表和有关专家组成以推荐中标候选人的临时组织。</w:t>
      </w:r>
    </w:p>
    <w:p w14:paraId="0552E964">
      <w:pPr>
        <w:pStyle w:val="25"/>
        <w:ind w:firstLine="480"/>
        <w:rPr>
          <w:rFonts w:hint="default"/>
        </w:rPr>
      </w:pPr>
      <w:r>
        <w:t>5.“中标人”是指经评标委员会评审确定的对招标文件做出实质性响应，按评标结果顺序推荐的中标候选人及采购文件中明确的定标方法，由</w:t>
      </w:r>
      <w:r>
        <w:rPr>
          <w:lang w:eastAsia="zh-CN"/>
        </w:rPr>
        <w:t>采购人</w:t>
      </w:r>
      <w:r>
        <w:t>确定的投标人。</w:t>
      </w:r>
    </w:p>
    <w:p w14:paraId="22F166B0">
      <w:pPr>
        <w:pStyle w:val="25"/>
        <w:ind w:firstLine="480"/>
        <w:rPr>
          <w:rFonts w:hint="default"/>
        </w:rPr>
      </w:pPr>
      <w:r>
        <w:t>6.招标文件：是指包括招标公告和招标文件及其补充、变更和澄清等一系列文件。</w:t>
      </w:r>
    </w:p>
    <w:p w14:paraId="28F8FFF6">
      <w:pPr>
        <w:pStyle w:val="25"/>
        <w:ind w:firstLine="480"/>
        <w:rPr>
          <w:rFonts w:hint="default"/>
        </w:rPr>
      </w:pPr>
      <w:r>
        <w:rPr>
          <w:lang w:eastAsia="zh-CN"/>
        </w:rPr>
        <w:t>7</w:t>
      </w:r>
      <w:r>
        <w:t>.日期、天数、时间：未有特别说明时，均为公历日（天）及北京时间。</w:t>
      </w:r>
    </w:p>
    <w:p w14:paraId="101740DE">
      <w:pPr>
        <w:pStyle w:val="25"/>
        <w:ind w:firstLine="480"/>
        <w:rPr>
          <w:rFonts w:hint="default"/>
        </w:rPr>
      </w:pPr>
      <w:r>
        <w:rPr>
          <w:lang w:eastAsia="zh-CN"/>
        </w:rPr>
        <w:t>8.</w:t>
      </w:r>
      <w:r>
        <w:t>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投标人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4BB49DB1">
      <w:pPr>
        <w:pStyle w:val="25"/>
        <w:outlineLvl w:val="2"/>
        <w:rPr>
          <w:rFonts w:hint="default"/>
        </w:rPr>
      </w:pPr>
      <w:r>
        <w:rPr>
          <w:b/>
          <w:sz w:val="28"/>
        </w:rPr>
        <w:t>二、须知前附表</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1898"/>
        <w:gridCol w:w="5599"/>
      </w:tblGrid>
      <w:tr w14:paraId="18712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7" w:type="dxa"/>
            <w:gridSpan w:val="3"/>
            <w:vAlign w:val="center"/>
          </w:tcPr>
          <w:p w14:paraId="1AE36D9E">
            <w:pPr>
              <w:pStyle w:val="25"/>
              <w:jc w:val="center"/>
              <w:rPr>
                <w:rFonts w:hint="default"/>
                <w:b/>
                <w:bCs/>
              </w:rPr>
            </w:pPr>
            <w:r>
              <w:rPr>
                <w:b/>
                <w:bCs/>
              </w:rPr>
              <w:t>本表与招标文件对应章节的内容若不一致，以本表为准。</w:t>
            </w:r>
          </w:p>
        </w:tc>
      </w:tr>
      <w:tr w14:paraId="35D7B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54B9336">
            <w:pPr>
              <w:pStyle w:val="25"/>
              <w:jc w:val="center"/>
              <w:rPr>
                <w:rFonts w:hint="default"/>
                <w:b/>
                <w:bCs/>
              </w:rPr>
            </w:pPr>
            <w:r>
              <w:rPr>
                <w:b/>
                <w:bCs/>
              </w:rPr>
              <w:t>序号</w:t>
            </w:r>
          </w:p>
        </w:tc>
        <w:tc>
          <w:tcPr>
            <w:tcW w:w="1898" w:type="dxa"/>
            <w:vAlign w:val="center"/>
          </w:tcPr>
          <w:p w14:paraId="78A6A335">
            <w:pPr>
              <w:pStyle w:val="25"/>
              <w:jc w:val="center"/>
              <w:rPr>
                <w:rFonts w:hint="default"/>
                <w:b/>
                <w:bCs/>
              </w:rPr>
            </w:pPr>
            <w:r>
              <w:rPr>
                <w:b/>
                <w:bCs/>
              </w:rPr>
              <w:t>条款名称</w:t>
            </w:r>
          </w:p>
        </w:tc>
        <w:tc>
          <w:tcPr>
            <w:tcW w:w="5599" w:type="dxa"/>
            <w:vAlign w:val="center"/>
          </w:tcPr>
          <w:p w14:paraId="7FECA7BE">
            <w:pPr>
              <w:pStyle w:val="25"/>
              <w:jc w:val="center"/>
              <w:rPr>
                <w:rFonts w:hint="default"/>
                <w:b/>
                <w:bCs/>
              </w:rPr>
            </w:pPr>
            <w:r>
              <w:rPr>
                <w:b/>
                <w:bCs/>
              </w:rPr>
              <w:t>内容及要求</w:t>
            </w:r>
          </w:p>
        </w:tc>
      </w:tr>
      <w:tr w14:paraId="6F558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10" w:type="dxa"/>
            <w:vAlign w:val="center"/>
          </w:tcPr>
          <w:p w14:paraId="198B9E4B">
            <w:pPr>
              <w:pStyle w:val="25"/>
              <w:jc w:val="center"/>
              <w:rPr>
                <w:rFonts w:hint="default"/>
              </w:rPr>
            </w:pPr>
            <w:r>
              <w:t>1</w:t>
            </w:r>
          </w:p>
        </w:tc>
        <w:tc>
          <w:tcPr>
            <w:tcW w:w="1898" w:type="dxa"/>
            <w:vAlign w:val="center"/>
          </w:tcPr>
          <w:p w14:paraId="3412AEED">
            <w:pPr>
              <w:pStyle w:val="25"/>
              <w:jc w:val="center"/>
              <w:rPr>
                <w:rFonts w:hint="default"/>
              </w:rPr>
            </w:pPr>
            <w:r>
              <w:t>采购包情况</w:t>
            </w:r>
          </w:p>
        </w:tc>
        <w:tc>
          <w:tcPr>
            <w:tcW w:w="5599" w:type="dxa"/>
            <w:vAlign w:val="center"/>
          </w:tcPr>
          <w:p w14:paraId="38641DC7">
            <w:pPr>
              <w:pStyle w:val="25"/>
              <w:rPr>
                <w:rFonts w:hint="default"/>
              </w:rPr>
            </w:pPr>
            <w:r>
              <w:t>本项目共</w:t>
            </w:r>
            <w:r>
              <w:rPr>
                <w:lang w:eastAsia="zh-CN"/>
              </w:rPr>
              <w:t>2</w:t>
            </w:r>
            <w:r>
              <w:t>个采购包</w:t>
            </w:r>
          </w:p>
        </w:tc>
      </w:tr>
      <w:tr w14:paraId="7FA2B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10" w:type="dxa"/>
            <w:vAlign w:val="center"/>
          </w:tcPr>
          <w:p w14:paraId="6C3C05F8">
            <w:pPr>
              <w:pStyle w:val="25"/>
              <w:jc w:val="center"/>
              <w:rPr>
                <w:rFonts w:hint="default"/>
              </w:rPr>
            </w:pPr>
            <w:r>
              <w:t>2</w:t>
            </w:r>
          </w:p>
        </w:tc>
        <w:tc>
          <w:tcPr>
            <w:tcW w:w="1898" w:type="dxa"/>
            <w:vAlign w:val="center"/>
          </w:tcPr>
          <w:p w14:paraId="569FC8EE">
            <w:pPr>
              <w:spacing w:line="360" w:lineRule="auto"/>
              <w:jc w:val="center"/>
              <w:rPr>
                <w:kern w:val="0"/>
                <w:sz w:val="20"/>
                <w:szCs w:val="20"/>
                <w:lang w:eastAsia="zh-Hans"/>
              </w:rPr>
            </w:pPr>
            <w:r>
              <w:rPr>
                <w:rFonts w:hint="eastAsia"/>
                <w:kern w:val="0"/>
                <w:sz w:val="20"/>
                <w:szCs w:val="20"/>
                <w:lang w:eastAsia="zh-Hans"/>
              </w:rPr>
              <w:t>开标方式</w:t>
            </w:r>
          </w:p>
        </w:tc>
        <w:tc>
          <w:tcPr>
            <w:tcW w:w="5599" w:type="dxa"/>
            <w:vAlign w:val="center"/>
          </w:tcPr>
          <w:p w14:paraId="45437DB4">
            <w:pPr>
              <w:spacing w:line="360" w:lineRule="auto"/>
              <w:rPr>
                <w:kern w:val="0"/>
                <w:sz w:val="20"/>
                <w:szCs w:val="20"/>
              </w:rPr>
            </w:pPr>
            <w:r>
              <w:rPr>
                <w:rFonts w:hint="eastAsia"/>
                <w:kern w:val="0"/>
                <w:sz w:val="20"/>
                <w:szCs w:val="20"/>
              </w:rPr>
              <w:t>远程</w:t>
            </w:r>
            <w:r>
              <w:rPr>
                <w:rFonts w:hint="eastAsia"/>
                <w:kern w:val="0"/>
                <w:sz w:val="20"/>
                <w:szCs w:val="20"/>
                <w:lang w:eastAsia="zh-Hans"/>
              </w:rPr>
              <w:t>电子开标</w:t>
            </w:r>
          </w:p>
        </w:tc>
      </w:tr>
      <w:tr w14:paraId="646F1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0CCC06F">
            <w:pPr>
              <w:pStyle w:val="25"/>
              <w:jc w:val="center"/>
              <w:rPr>
                <w:rFonts w:hint="default"/>
              </w:rPr>
            </w:pPr>
            <w:r>
              <w:t>3</w:t>
            </w:r>
          </w:p>
        </w:tc>
        <w:tc>
          <w:tcPr>
            <w:tcW w:w="1898" w:type="dxa"/>
            <w:vAlign w:val="center"/>
          </w:tcPr>
          <w:p w14:paraId="543DE149">
            <w:pPr>
              <w:pStyle w:val="25"/>
              <w:jc w:val="center"/>
              <w:rPr>
                <w:rFonts w:hint="default"/>
              </w:rPr>
            </w:pPr>
            <w:r>
              <w:t>评标方式</w:t>
            </w:r>
          </w:p>
        </w:tc>
        <w:tc>
          <w:tcPr>
            <w:tcW w:w="5599" w:type="dxa"/>
            <w:vAlign w:val="center"/>
          </w:tcPr>
          <w:p w14:paraId="6A1C07F3">
            <w:pPr>
              <w:rPr>
                <w:rFonts w:ascii="宋体" w:hAnsi="宋体" w:cs="宋体"/>
                <w:sz w:val="20"/>
                <w:szCs w:val="20"/>
              </w:rPr>
            </w:pPr>
            <w:r>
              <w:rPr>
                <w:rFonts w:hint="eastAsia" w:ascii="宋体" w:hAnsi="宋体" w:cs="宋体"/>
                <w:sz w:val="20"/>
                <w:szCs w:val="20"/>
              </w:rPr>
              <w:t>现场电子评标。</w:t>
            </w:r>
          </w:p>
          <w:p w14:paraId="40326913">
            <w:pPr>
              <w:rPr>
                <w:rFonts w:ascii="宋体" w:hAnsi="宋体" w:cs="宋体"/>
                <w:sz w:val="20"/>
                <w:szCs w:val="20"/>
              </w:rPr>
            </w:pPr>
            <w:r>
              <w:rPr>
                <w:rFonts w:hint="eastAsia" w:ascii="宋体" w:hAnsi="宋体" w:cs="宋体"/>
                <w:sz w:val="20"/>
                <w:szCs w:val="20"/>
              </w:rPr>
              <w:t>地址：惠州市惠城区菊花一路真维斯办公大楼5楼</w:t>
            </w:r>
          </w:p>
        </w:tc>
      </w:tr>
      <w:tr w14:paraId="24A23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1EC06274">
            <w:pPr>
              <w:pStyle w:val="25"/>
              <w:jc w:val="center"/>
              <w:rPr>
                <w:rFonts w:hint="default"/>
              </w:rPr>
            </w:pPr>
            <w:r>
              <w:t>4</w:t>
            </w:r>
          </w:p>
        </w:tc>
        <w:tc>
          <w:tcPr>
            <w:tcW w:w="1898" w:type="dxa"/>
            <w:vAlign w:val="center"/>
          </w:tcPr>
          <w:p w14:paraId="168E16D5">
            <w:pPr>
              <w:pStyle w:val="25"/>
              <w:jc w:val="center"/>
              <w:rPr>
                <w:rFonts w:hint="default"/>
              </w:rPr>
            </w:pPr>
            <w:r>
              <w:t>评标方法</w:t>
            </w:r>
          </w:p>
        </w:tc>
        <w:tc>
          <w:tcPr>
            <w:tcW w:w="5599" w:type="dxa"/>
            <w:vAlign w:val="center"/>
          </w:tcPr>
          <w:p w14:paraId="6E4CC2DA">
            <w:pPr>
              <w:pStyle w:val="25"/>
              <w:rPr>
                <w:rFonts w:hint="default"/>
                <w:lang w:eastAsia="zh-CN"/>
              </w:rPr>
            </w:pPr>
            <w:r>
              <w:rPr>
                <w:lang w:eastAsia="zh-CN"/>
              </w:rPr>
              <w:t>本项目采用</w:t>
            </w:r>
            <w:r>
              <w:rPr>
                <w:u w:val="single"/>
                <w:lang w:eastAsia="zh-CN"/>
              </w:rPr>
              <w:t>“定量评审”</w:t>
            </w:r>
            <w:r>
              <w:rPr>
                <w:lang w:eastAsia="zh-CN"/>
              </w:rPr>
              <w:t>方式。</w:t>
            </w:r>
          </w:p>
          <w:p w14:paraId="2EF398E6">
            <w:pPr>
              <w:pStyle w:val="25"/>
              <w:rPr>
                <w:rFonts w:hint="eastAsia"/>
                <w:lang w:eastAsia="zh-CN"/>
              </w:rPr>
            </w:pPr>
            <w:r>
              <w:rPr>
                <w:lang w:eastAsia="zh-CN"/>
              </w:rPr>
              <w:t>采用“定量评审”方式推荐中标候选人的，</w:t>
            </w:r>
            <w:r>
              <w:rPr>
                <w:rFonts w:hint="eastAsia"/>
                <w:lang w:eastAsia="zh-CN"/>
              </w:rPr>
              <w:t>评标委员会根据最终评审的结果，推荐综合得分排名前3-前5的投标人为中标候选人，若有效参与评审的投标人数量&gt;6，则最终推选前5名中标候选人名单给采购人;若有效参与评审的投标人数量=5，则最终推选前4名中标候选人名单给采购人;若有效参与评审的投标人数量≤4，则最终推选前3名中标候选人名单给采购人。评标委员按照评审标准在评标报告中推荐排名前三-前五的投标人为中标候选人，并在评标报告上签字，对自己的评审意见承担法律责任。综合得分相同的，按投标报价由低到高顺序排列确定中标候选人。综合得分且投标报价相同的并列。</w:t>
            </w:r>
          </w:p>
          <w:p w14:paraId="2A4044C3">
            <w:pPr>
              <w:pStyle w:val="25"/>
              <w:rPr>
                <w:rFonts w:hint="default"/>
                <w:lang w:eastAsia="zh-CN"/>
              </w:rPr>
            </w:pPr>
            <w:r>
              <w:rPr>
                <w:rFonts w:hint="default"/>
                <w:lang w:eastAsia="zh-CN"/>
              </w:rPr>
              <w:t>中标候选人并列的，招标人可委托评标委员会按下列顺序比较确定中标人:(1)技术评分(由高到低);(2)节能产品:(3)环保产品。如以上都相同的，名次由招标人采取随机抽取方式确定。</w:t>
            </w:r>
          </w:p>
        </w:tc>
      </w:tr>
      <w:tr w14:paraId="701FE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10836973">
            <w:pPr>
              <w:pStyle w:val="25"/>
              <w:jc w:val="center"/>
              <w:rPr>
                <w:rFonts w:hint="default"/>
              </w:rPr>
            </w:pPr>
            <w:r>
              <w:t>5</w:t>
            </w:r>
          </w:p>
        </w:tc>
        <w:tc>
          <w:tcPr>
            <w:tcW w:w="1898" w:type="dxa"/>
            <w:vAlign w:val="center"/>
          </w:tcPr>
          <w:p w14:paraId="50E634E4">
            <w:pPr>
              <w:pStyle w:val="25"/>
              <w:jc w:val="center"/>
              <w:rPr>
                <w:rFonts w:hint="default"/>
                <w:lang w:eastAsia="zh-CN"/>
              </w:rPr>
            </w:pPr>
            <w:r>
              <w:rPr>
                <w:lang w:eastAsia="zh-CN"/>
              </w:rPr>
              <w:t>是否评定分离</w:t>
            </w:r>
          </w:p>
        </w:tc>
        <w:tc>
          <w:tcPr>
            <w:tcW w:w="5599" w:type="dxa"/>
            <w:vAlign w:val="center"/>
          </w:tcPr>
          <w:p w14:paraId="7EF73BC2">
            <w:pPr>
              <w:pStyle w:val="25"/>
              <w:rPr>
                <w:rFonts w:hint="default"/>
                <w:lang w:eastAsia="zh-CN"/>
              </w:rPr>
            </w:pPr>
            <w:r>
              <w:rPr>
                <w:lang w:eastAsia="zh-CN"/>
              </w:rPr>
              <w:t>是</w:t>
            </w:r>
          </w:p>
        </w:tc>
      </w:tr>
      <w:tr w14:paraId="3B033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A5A1362">
            <w:pPr>
              <w:pStyle w:val="25"/>
              <w:jc w:val="center"/>
              <w:rPr>
                <w:rFonts w:hint="default"/>
              </w:rPr>
            </w:pPr>
            <w:r>
              <w:t>6</w:t>
            </w:r>
          </w:p>
        </w:tc>
        <w:tc>
          <w:tcPr>
            <w:tcW w:w="1898" w:type="dxa"/>
            <w:vAlign w:val="center"/>
          </w:tcPr>
          <w:p w14:paraId="329891B1">
            <w:pPr>
              <w:pStyle w:val="25"/>
              <w:jc w:val="center"/>
              <w:rPr>
                <w:rFonts w:hint="default"/>
                <w:lang w:eastAsia="zh-CN"/>
              </w:rPr>
            </w:pPr>
            <w:r>
              <w:rPr>
                <w:lang w:eastAsia="zh-CN"/>
              </w:rPr>
              <w:t>定标方法</w:t>
            </w:r>
          </w:p>
        </w:tc>
        <w:tc>
          <w:tcPr>
            <w:tcW w:w="5599" w:type="dxa"/>
            <w:vAlign w:val="center"/>
          </w:tcPr>
          <w:p w14:paraId="3A72E15D">
            <w:pPr>
              <w:pStyle w:val="25"/>
              <w:rPr>
                <w:rFonts w:hint="default"/>
                <w:lang w:eastAsia="zh-CN"/>
              </w:rPr>
            </w:pPr>
            <w:r>
              <w:rPr>
                <w:rFonts w:hint="eastAsia"/>
                <w:lang w:eastAsia="zh-CN"/>
              </w:rPr>
              <w:t>采购人在收到评审报告后3周内综合考虑中标候选人的企业实力、企业信誉、响应文件情况报价、拟派团队管理能力与水平等多方面因素，通过相关会议决策后确定最终中标人。</w:t>
            </w:r>
          </w:p>
        </w:tc>
      </w:tr>
      <w:tr w14:paraId="67E7B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0327709">
            <w:pPr>
              <w:pStyle w:val="25"/>
              <w:jc w:val="center"/>
              <w:rPr>
                <w:rFonts w:hint="default"/>
              </w:rPr>
            </w:pPr>
            <w:r>
              <w:t>7</w:t>
            </w:r>
          </w:p>
        </w:tc>
        <w:tc>
          <w:tcPr>
            <w:tcW w:w="1898" w:type="dxa"/>
            <w:vAlign w:val="center"/>
          </w:tcPr>
          <w:p w14:paraId="0FDD7685">
            <w:pPr>
              <w:pStyle w:val="25"/>
              <w:jc w:val="center"/>
              <w:rPr>
                <w:rFonts w:hint="default"/>
              </w:rPr>
            </w:pPr>
            <w:r>
              <w:t>报价形式</w:t>
            </w:r>
          </w:p>
        </w:tc>
        <w:tc>
          <w:tcPr>
            <w:tcW w:w="5599" w:type="dxa"/>
            <w:vAlign w:val="center"/>
          </w:tcPr>
          <w:p w14:paraId="61A6E718">
            <w:pPr>
              <w:pStyle w:val="25"/>
              <w:rPr>
                <w:rFonts w:hint="default"/>
                <w:lang w:eastAsia="zh-CN"/>
              </w:rPr>
            </w:pPr>
            <w:r>
              <w:t>采购包</w:t>
            </w:r>
            <w:r>
              <w:rPr>
                <w:lang w:eastAsia="zh-CN"/>
              </w:rPr>
              <w:t>1：总价报价</w:t>
            </w:r>
          </w:p>
          <w:p w14:paraId="3C51C7BF">
            <w:pPr>
              <w:pStyle w:val="25"/>
              <w:rPr>
                <w:rFonts w:hint="default"/>
                <w:lang w:eastAsia="zh-CN"/>
              </w:rPr>
            </w:pPr>
            <w:r>
              <w:t>采购包</w:t>
            </w:r>
            <w:r>
              <w:rPr>
                <w:lang w:eastAsia="zh-CN"/>
              </w:rPr>
              <w:t>2：总价报价</w:t>
            </w:r>
          </w:p>
        </w:tc>
      </w:tr>
      <w:tr w14:paraId="09D78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12E906C">
            <w:pPr>
              <w:pStyle w:val="25"/>
              <w:jc w:val="center"/>
              <w:rPr>
                <w:rFonts w:hint="default"/>
              </w:rPr>
            </w:pPr>
            <w:r>
              <w:t>8</w:t>
            </w:r>
          </w:p>
        </w:tc>
        <w:tc>
          <w:tcPr>
            <w:tcW w:w="1898" w:type="dxa"/>
            <w:vAlign w:val="center"/>
          </w:tcPr>
          <w:p w14:paraId="35181FE5">
            <w:pPr>
              <w:pStyle w:val="25"/>
              <w:jc w:val="center"/>
              <w:rPr>
                <w:rFonts w:hint="default"/>
              </w:rPr>
            </w:pPr>
            <w:r>
              <w:t>报价要求</w:t>
            </w:r>
          </w:p>
        </w:tc>
        <w:tc>
          <w:tcPr>
            <w:tcW w:w="5599" w:type="dxa"/>
            <w:vAlign w:val="center"/>
          </w:tcPr>
          <w:p w14:paraId="5CD971A7">
            <w:pPr>
              <w:pStyle w:val="25"/>
              <w:rPr>
                <w:rFonts w:hint="default"/>
                <w:lang w:eastAsia="zh-CN"/>
              </w:rPr>
            </w:pPr>
            <w:r>
              <w:rPr>
                <w:lang w:eastAsia="zh-CN"/>
              </w:rPr>
              <w:t>各采购包报价不超过预算总价</w:t>
            </w:r>
          </w:p>
        </w:tc>
      </w:tr>
      <w:tr w14:paraId="09608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0F6965A">
            <w:pPr>
              <w:pStyle w:val="25"/>
              <w:jc w:val="center"/>
              <w:rPr>
                <w:rFonts w:hint="default"/>
              </w:rPr>
            </w:pPr>
            <w:r>
              <w:t>9</w:t>
            </w:r>
          </w:p>
        </w:tc>
        <w:tc>
          <w:tcPr>
            <w:tcW w:w="1898" w:type="dxa"/>
            <w:vAlign w:val="center"/>
          </w:tcPr>
          <w:p w14:paraId="2C352EBA">
            <w:pPr>
              <w:pStyle w:val="25"/>
              <w:jc w:val="center"/>
              <w:rPr>
                <w:rFonts w:hint="default"/>
              </w:rPr>
            </w:pPr>
            <w:r>
              <w:t>现场踏勘</w:t>
            </w:r>
          </w:p>
        </w:tc>
        <w:tc>
          <w:tcPr>
            <w:tcW w:w="5599" w:type="dxa"/>
            <w:vAlign w:val="center"/>
          </w:tcPr>
          <w:p w14:paraId="278F0027">
            <w:pPr>
              <w:pStyle w:val="25"/>
              <w:rPr>
                <w:rFonts w:hint="default"/>
              </w:rPr>
            </w:pPr>
            <w:r>
              <w:t>否</w:t>
            </w:r>
          </w:p>
        </w:tc>
      </w:tr>
      <w:tr w14:paraId="5BAD5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6BCB84B">
            <w:pPr>
              <w:pStyle w:val="25"/>
              <w:jc w:val="center"/>
              <w:rPr>
                <w:rFonts w:hint="default"/>
              </w:rPr>
            </w:pPr>
            <w:r>
              <w:t>10</w:t>
            </w:r>
          </w:p>
        </w:tc>
        <w:tc>
          <w:tcPr>
            <w:tcW w:w="1898" w:type="dxa"/>
            <w:vAlign w:val="center"/>
          </w:tcPr>
          <w:p w14:paraId="1CEE9B12">
            <w:pPr>
              <w:pStyle w:val="25"/>
              <w:jc w:val="center"/>
              <w:rPr>
                <w:rFonts w:hint="default"/>
              </w:rPr>
            </w:pPr>
            <w:r>
              <w:t>投标有效期</w:t>
            </w:r>
          </w:p>
        </w:tc>
        <w:tc>
          <w:tcPr>
            <w:tcW w:w="5599" w:type="dxa"/>
            <w:vAlign w:val="center"/>
          </w:tcPr>
          <w:p w14:paraId="6199A370">
            <w:pPr>
              <w:pStyle w:val="25"/>
              <w:rPr>
                <w:rFonts w:hint="default"/>
              </w:rPr>
            </w:pPr>
            <w:r>
              <w:t>从提交投标文件的截止之日起90日历天</w:t>
            </w:r>
          </w:p>
        </w:tc>
      </w:tr>
      <w:tr w14:paraId="394A0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75A09D5">
            <w:pPr>
              <w:pStyle w:val="25"/>
              <w:jc w:val="center"/>
              <w:rPr>
                <w:rFonts w:hint="default"/>
              </w:rPr>
            </w:pPr>
            <w:r>
              <w:t>11</w:t>
            </w:r>
          </w:p>
        </w:tc>
        <w:tc>
          <w:tcPr>
            <w:tcW w:w="1898" w:type="dxa"/>
            <w:vAlign w:val="center"/>
          </w:tcPr>
          <w:p w14:paraId="5D82378D">
            <w:pPr>
              <w:pStyle w:val="25"/>
              <w:jc w:val="center"/>
              <w:rPr>
                <w:rFonts w:hint="default"/>
              </w:rPr>
            </w:pPr>
            <w:r>
              <w:t>投标保证金</w:t>
            </w:r>
          </w:p>
        </w:tc>
        <w:tc>
          <w:tcPr>
            <w:tcW w:w="5599" w:type="dxa"/>
            <w:vAlign w:val="center"/>
          </w:tcPr>
          <w:p w14:paraId="3ED46581">
            <w:pPr>
              <w:pStyle w:val="25"/>
              <w:rPr>
                <w:rFonts w:hint="default"/>
                <w:lang w:eastAsia="zh-CN"/>
              </w:rPr>
            </w:pPr>
            <w:r>
              <w:rPr>
                <w:lang w:eastAsia="zh-CN"/>
              </w:rPr>
              <w:t>无</w:t>
            </w:r>
          </w:p>
        </w:tc>
      </w:tr>
      <w:tr w14:paraId="16E22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DB2BABB">
            <w:pPr>
              <w:pStyle w:val="25"/>
              <w:jc w:val="center"/>
              <w:rPr>
                <w:rFonts w:hint="default"/>
              </w:rPr>
            </w:pPr>
            <w:r>
              <w:t>12</w:t>
            </w:r>
          </w:p>
        </w:tc>
        <w:tc>
          <w:tcPr>
            <w:tcW w:w="1898" w:type="dxa"/>
            <w:vAlign w:val="center"/>
          </w:tcPr>
          <w:p w14:paraId="59945CCD">
            <w:pPr>
              <w:pStyle w:val="25"/>
              <w:jc w:val="center"/>
              <w:rPr>
                <w:rFonts w:hint="default"/>
              </w:rPr>
            </w:pPr>
            <w:r>
              <w:t>投标文件要求</w:t>
            </w:r>
          </w:p>
        </w:tc>
        <w:tc>
          <w:tcPr>
            <w:tcW w:w="5599" w:type="dxa"/>
            <w:vAlign w:val="center"/>
          </w:tcPr>
          <w:p w14:paraId="39CDD08A">
            <w:pPr>
              <w:pStyle w:val="25"/>
              <w:rPr>
                <w:rFonts w:hint="default"/>
              </w:rPr>
            </w:pPr>
            <w:r>
              <w:rPr>
                <w:lang w:eastAsia="zh-CN"/>
              </w:rPr>
              <w:t>1</w:t>
            </w:r>
            <w:r>
              <w:t>、电子投标文件：</w:t>
            </w:r>
          </w:p>
          <w:p w14:paraId="1F7158E9">
            <w:pPr>
              <w:pStyle w:val="25"/>
              <w:rPr>
                <w:rFonts w:hint="default"/>
              </w:rPr>
            </w:pPr>
            <w:r>
              <w:t>电子投标文件递交：投标文件编制完成后按规定使用信鉴易电子印章阅读器进行电子签章，完成电子签章后在投标截止时间之前上传到中易电子交易平台（http://www.cotenders.cn）。</w:t>
            </w:r>
          </w:p>
          <w:p w14:paraId="058F5FD1">
            <w:pPr>
              <w:pStyle w:val="25"/>
              <w:rPr>
                <w:rFonts w:hint="default"/>
              </w:rPr>
            </w:pPr>
            <w:r>
              <w:rPr>
                <w:lang w:eastAsia="zh-CN"/>
              </w:rPr>
              <w:t>2</w:t>
            </w:r>
            <w:r>
              <w:t>、纸质投标文件：（无需提供）</w:t>
            </w:r>
          </w:p>
        </w:tc>
      </w:tr>
      <w:tr w14:paraId="5B926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735249A">
            <w:pPr>
              <w:pStyle w:val="25"/>
              <w:jc w:val="center"/>
              <w:rPr>
                <w:rFonts w:hint="default"/>
              </w:rPr>
            </w:pPr>
            <w:r>
              <w:t>13</w:t>
            </w:r>
          </w:p>
        </w:tc>
        <w:tc>
          <w:tcPr>
            <w:tcW w:w="1898" w:type="dxa"/>
            <w:vAlign w:val="center"/>
          </w:tcPr>
          <w:p w14:paraId="13493CDB">
            <w:pPr>
              <w:pStyle w:val="25"/>
              <w:jc w:val="center"/>
              <w:rPr>
                <w:rFonts w:hint="default"/>
              </w:rPr>
            </w:pPr>
            <w:r>
              <w:rPr>
                <w:lang w:eastAsia="zh-CN"/>
              </w:rPr>
              <w:t>中标候选人</w:t>
            </w:r>
            <w:r>
              <w:t>推荐家数</w:t>
            </w:r>
          </w:p>
        </w:tc>
        <w:tc>
          <w:tcPr>
            <w:tcW w:w="5599" w:type="dxa"/>
            <w:vAlign w:val="center"/>
          </w:tcPr>
          <w:p w14:paraId="6E0236F1">
            <w:pPr>
              <w:pStyle w:val="25"/>
              <w:rPr>
                <w:rFonts w:hint="default"/>
              </w:rPr>
            </w:pPr>
            <w:r>
              <w:t>采购包</w:t>
            </w:r>
            <w:r>
              <w:rPr>
                <w:lang w:eastAsia="zh-CN"/>
              </w:rPr>
              <w:t>1：</w:t>
            </w:r>
            <w:r>
              <w:rPr>
                <w:rFonts w:hint="eastAsia"/>
                <w:lang w:eastAsia="zh-CN"/>
              </w:rPr>
              <w:t>推荐综合得分排名前3-前5的投标人为中标候选人，若有效参与评审的投标人数量&gt;6，则最终推选前5名中标候选人名单给采购人;若有效参与评审的投标人数量=5，则最终推选前4名中标候选人名单给采购人;若有效参与评审的投标人数量≤4，则最终推选前3名中标候选人名单给采购人。</w:t>
            </w:r>
          </w:p>
          <w:p w14:paraId="7B02A7C4">
            <w:pPr>
              <w:pStyle w:val="25"/>
              <w:rPr>
                <w:rFonts w:hint="default"/>
              </w:rPr>
            </w:pPr>
            <w:r>
              <w:t>采购包</w:t>
            </w:r>
            <w:r>
              <w:rPr>
                <w:lang w:eastAsia="zh-CN"/>
              </w:rPr>
              <w:t>2：</w:t>
            </w:r>
            <w:r>
              <w:rPr>
                <w:rFonts w:hint="eastAsia"/>
                <w:lang w:eastAsia="zh-CN"/>
              </w:rPr>
              <w:t>推荐综合得分排名前3-前5的投标人为中标候选人，若有效参与评审的投标人数量&gt;6，则最终推选前5名中标候选人名单给采购人;若有效参与评审的投标人数量=5，则最终推选前4名中标候选人名单给采购人;若有效参与评审的投标人数量≤4，则最终推选前3名中标候选人名单给采购人。</w:t>
            </w:r>
          </w:p>
        </w:tc>
      </w:tr>
      <w:tr w14:paraId="5AFB1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17FD5B16">
            <w:pPr>
              <w:pStyle w:val="25"/>
              <w:jc w:val="center"/>
              <w:rPr>
                <w:rFonts w:hint="default"/>
              </w:rPr>
            </w:pPr>
            <w:r>
              <w:t>14</w:t>
            </w:r>
          </w:p>
        </w:tc>
        <w:tc>
          <w:tcPr>
            <w:tcW w:w="1898" w:type="dxa"/>
            <w:vAlign w:val="center"/>
          </w:tcPr>
          <w:p w14:paraId="60F5FDD1">
            <w:pPr>
              <w:pStyle w:val="25"/>
              <w:jc w:val="center"/>
              <w:rPr>
                <w:rFonts w:hint="default"/>
              </w:rPr>
            </w:pPr>
            <w:r>
              <w:rPr>
                <w:lang w:eastAsia="zh-CN"/>
              </w:rPr>
              <w:t>中标人</w:t>
            </w:r>
            <w:r>
              <w:t>数量</w:t>
            </w:r>
          </w:p>
        </w:tc>
        <w:tc>
          <w:tcPr>
            <w:tcW w:w="5599" w:type="dxa"/>
            <w:vAlign w:val="center"/>
          </w:tcPr>
          <w:p w14:paraId="248E64A5">
            <w:pPr>
              <w:pStyle w:val="25"/>
              <w:rPr>
                <w:rFonts w:hint="default"/>
              </w:rPr>
            </w:pPr>
            <w:r>
              <w:t>采购包</w:t>
            </w:r>
            <w:r>
              <w:rPr>
                <w:lang w:eastAsia="zh-CN"/>
              </w:rPr>
              <w:t>1：</w:t>
            </w:r>
            <w:r>
              <w:t>1家</w:t>
            </w:r>
          </w:p>
          <w:p w14:paraId="08CB7512">
            <w:pPr>
              <w:pStyle w:val="25"/>
              <w:rPr>
                <w:rFonts w:hint="default"/>
              </w:rPr>
            </w:pPr>
            <w:r>
              <w:t>采购包</w:t>
            </w:r>
            <w:r>
              <w:rPr>
                <w:lang w:eastAsia="zh-CN"/>
              </w:rPr>
              <w:t>2：</w:t>
            </w:r>
            <w:r>
              <w:t>1家</w:t>
            </w:r>
          </w:p>
        </w:tc>
      </w:tr>
      <w:tr w14:paraId="47C0F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97D7850">
            <w:pPr>
              <w:pStyle w:val="25"/>
              <w:jc w:val="center"/>
              <w:rPr>
                <w:rFonts w:hint="default"/>
              </w:rPr>
            </w:pPr>
            <w:r>
              <w:t>15</w:t>
            </w:r>
          </w:p>
        </w:tc>
        <w:tc>
          <w:tcPr>
            <w:tcW w:w="1898" w:type="dxa"/>
            <w:vAlign w:val="center"/>
          </w:tcPr>
          <w:p w14:paraId="013D42F4">
            <w:pPr>
              <w:pStyle w:val="25"/>
              <w:jc w:val="center"/>
              <w:rPr>
                <w:rFonts w:hint="default"/>
              </w:rPr>
            </w:pPr>
            <w:r>
              <w:t>有效供应商家数</w:t>
            </w:r>
          </w:p>
        </w:tc>
        <w:tc>
          <w:tcPr>
            <w:tcW w:w="5599" w:type="dxa"/>
            <w:vAlign w:val="center"/>
          </w:tcPr>
          <w:p w14:paraId="64FF800E">
            <w:pPr>
              <w:pStyle w:val="25"/>
              <w:rPr>
                <w:rFonts w:hint="default"/>
              </w:rPr>
            </w:pPr>
            <w:r>
              <w:t>采购包</w:t>
            </w:r>
            <w:r>
              <w:rPr>
                <w:lang w:eastAsia="zh-CN"/>
              </w:rPr>
              <w:t>1：3</w:t>
            </w:r>
            <w:r>
              <w:t>家</w:t>
            </w:r>
          </w:p>
          <w:p w14:paraId="5677161A">
            <w:pPr>
              <w:pStyle w:val="25"/>
              <w:rPr>
                <w:rFonts w:hint="default"/>
              </w:rPr>
            </w:pPr>
            <w:r>
              <w:t>采购包</w:t>
            </w:r>
            <w:r>
              <w:rPr>
                <w:lang w:eastAsia="zh-CN"/>
              </w:rPr>
              <w:t>2：3</w:t>
            </w:r>
            <w:r>
              <w:t>家</w:t>
            </w:r>
          </w:p>
          <w:p w14:paraId="33ECD6C7">
            <w:pPr>
              <w:pStyle w:val="25"/>
              <w:ind w:firstLine="480"/>
              <w:rPr>
                <w:rFonts w:hint="default"/>
              </w:rPr>
            </w:pPr>
            <w:r>
              <w:t>此人数约定了开标与评标过程中的最低有效供应商家数，当家数不足时项目将不得开标、不得评标或直接废标。</w:t>
            </w:r>
          </w:p>
        </w:tc>
      </w:tr>
      <w:tr w14:paraId="4A225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0040FFB">
            <w:pPr>
              <w:pStyle w:val="25"/>
              <w:jc w:val="center"/>
              <w:rPr>
                <w:rFonts w:hint="default"/>
              </w:rPr>
            </w:pPr>
            <w:r>
              <w:t>16</w:t>
            </w:r>
          </w:p>
        </w:tc>
        <w:tc>
          <w:tcPr>
            <w:tcW w:w="1898" w:type="dxa"/>
            <w:vAlign w:val="center"/>
          </w:tcPr>
          <w:p w14:paraId="25A27642">
            <w:pPr>
              <w:pStyle w:val="25"/>
              <w:jc w:val="center"/>
              <w:rPr>
                <w:rFonts w:hint="default"/>
              </w:rPr>
            </w:pPr>
            <w:r>
              <w:t>项目兼投兼中（兼投不兼中）规则</w:t>
            </w:r>
          </w:p>
        </w:tc>
        <w:tc>
          <w:tcPr>
            <w:tcW w:w="5599" w:type="dxa"/>
            <w:vAlign w:val="center"/>
          </w:tcPr>
          <w:p w14:paraId="2B7595B1">
            <w:pPr>
              <w:pStyle w:val="25"/>
              <w:rPr>
                <w:rFonts w:hint="default"/>
                <w:lang w:eastAsia="zh-CN"/>
              </w:rPr>
            </w:pPr>
            <w:r>
              <w:rPr>
                <w:lang w:eastAsia="zh-CN"/>
              </w:rPr>
              <w:t>-</w:t>
            </w:r>
            <w:r>
              <w:t>兼投兼中</w:t>
            </w:r>
          </w:p>
        </w:tc>
      </w:tr>
      <w:tr w14:paraId="279BE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F5EB052">
            <w:pPr>
              <w:pStyle w:val="25"/>
              <w:jc w:val="center"/>
              <w:rPr>
                <w:rFonts w:hint="default"/>
              </w:rPr>
            </w:pPr>
            <w:r>
              <w:t>17</w:t>
            </w:r>
          </w:p>
        </w:tc>
        <w:tc>
          <w:tcPr>
            <w:tcW w:w="1898" w:type="dxa"/>
            <w:vAlign w:val="center"/>
          </w:tcPr>
          <w:p w14:paraId="74B1004E">
            <w:pPr>
              <w:pStyle w:val="25"/>
              <w:jc w:val="center"/>
              <w:rPr>
                <w:rFonts w:hint="default"/>
              </w:rPr>
            </w:pPr>
            <w:r>
              <w:rPr>
                <w:lang w:eastAsia="zh-CN"/>
              </w:rPr>
              <w:t>中标人</w:t>
            </w:r>
            <w:r>
              <w:t>确定方式</w:t>
            </w:r>
          </w:p>
        </w:tc>
        <w:tc>
          <w:tcPr>
            <w:tcW w:w="5599" w:type="dxa"/>
            <w:vAlign w:val="center"/>
          </w:tcPr>
          <w:p w14:paraId="550E9268">
            <w:pPr>
              <w:pStyle w:val="25"/>
              <w:rPr>
                <w:rFonts w:hint="default"/>
                <w:lang w:eastAsia="zh-CN"/>
              </w:rPr>
            </w:pPr>
            <w:r>
              <w:rPr>
                <w:lang w:eastAsia="zh-CN"/>
              </w:rPr>
              <w:t>由采购人从中标候选人中确定最终中标人。</w:t>
            </w:r>
          </w:p>
        </w:tc>
      </w:tr>
      <w:tr w14:paraId="39F3B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8A25889">
            <w:pPr>
              <w:pStyle w:val="25"/>
              <w:jc w:val="center"/>
              <w:rPr>
                <w:rFonts w:hint="default"/>
                <w:lang w:eastAsia="zh-CN"/>
              </w:rPr>
            </w:pPr>
            <w:r>
              <w:rPr>
                <w:lang w:eastAsia="zh-CN"/>
              </w:rPr>
              <w:t>18</w:t>
            </w:r>
          </w:p>
        </w:tc>
        <w:tc>
          <w:tcPr>
            <w:tcW w:w="1898" w:type="dxa"/>
            <w:vAlign w:val="center"/>
          </w:tcPr>
          <w:p w14:paraId="754641C9">
            <w:pPr>
              <w:pStyle w:val="25"/>
              <w:jc w:val="center"/>
              <w:rPr>
                <w:rFonts w:hint="default"/>
              </w:rPr>
            </w:pPr>
            <w:r>
              <w:t>代理服务费</w:t>
            </w:r>
          </w:p>
        </w:tc>
        <w:tc>
          <w:tcPr>
            <w:tcW w:w="5599" w:type="dxa"/>
            <w:vAlign w:val="center"/>
          </w:tcPr>
          <w:p w14:paraId="6BEB8671">
            <w:pPr>
              <w:pStyle w:val="25"/>
              <w:rPr>
                <w:rFonts w:hint="default"/>
              </w:rPr>
            </w:pPr>
            <w:r>
              <w:t>收取。</w:t>
            </w:r>
          </w:p>
          <w:p w14:paraId="0E68E54A">
            <w:pPr>
              <w:pStyle w:val="25"/>
              <w:rPr>
                <w:rFonts w:hint="default"/>
              </w:rPr>
            </w:pPr>
            <w:r>
              <w:t>采购机构代理服务收费标准：按国家发展计划委员会《招标代理服务收费管理暂行办法》（计价格〔2002〕1980号）、《国家发改委关于降低部分建设项目收费标准规范收费行为等有关问题的通知》（发改价格〔2011〕534号）等文件规定的“差额费率累进法”计算，并在计算得出的收费标准基础上，整体下浮【30 %】。</w:t>
            </w:r>
          </w:p>
        </w:tc>
      </w:tr>
      <w:tr w14:paraId="74A8B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382CC81E">
            <w:pPr>
              <w:pStyle w:val="25"/>
              <w:jc w:val="center"/>
              <w:rPr>
                <w:rFonts w:hint="default"/>
                <w:lang w:eastAsia="zh-CN"/>
              </w:rPr>
            </w:pPr>
            <w:r>
              <w:rPr>
                <w:lang w:eastAsia="zh-CN"/>
              </w:rPr>
              <w:t>19</w:t>
            </w:r>
          </w:p>
        </w:tc>
        <w:tc>
          <w:tcPr>
            <w:tcW w:w="1898" w:type="dxa"/>
            <w:vAlign w:val="center"/>
          </w:tcPr>
          <w:p w14:paraId="732C2670">
            <w:pPr>
              <w:pStyle w:val="25"/>
              <w:jc w:val="center"/>
              <w:rPr>
                <w:rFonts w:hint="default"/>
              </w:rPr>
            </w:pPr>
            <w:r>
              <w:t>代理服务费收取方式</w:t>
            </w:r>
          </w:p>
        </w:tc>
        <w:tc>
          <w:tcPr>
            <w:tcW w:w="5599" w:type="dxa"/>
            <w:vAlign w:val="center"/>
          </w:tcPr>
          <w:p w14:paraId="139A7806">
            <w:pPr>
              <w:pStyle w:val="25"/>
              <w:rPr>
                <w:rFonts w:hint="default"/>
              </w:rPr>
            </w:pPr>
            <w:r>
              <w:t>向</w:t>
            </w:r>
            <w:r>
              <w:rPr>
                <w:lang w:eastAsia="zh-CN"/>
              </w:rPr>
              <w:t>中标人</w:t>
            </w:r>
            <w:r>
              <w:t>收取</w:t>
            </w:r>
          </w:p>
        </w:tc>
      </w:tr>
    </w:tbl>
    <w:p w14:paraId="0DFF793F">
      <w:pPr>
        <w:pStyle w:val="25"/>
        <w:outlineLvl w:val="2"/>
        <w:rPr>
          <w:rFonts w:hint="default"/>
        </w:rPr>
      </w:pPr>
      <w:r>
        <w:rPr>
          <w:b/>
          <w:sz w:val="28"/>
        </w:rPr>
        <w:t>三、说明</w:t>
      </w:r>
    </w:p>
    <w:p w14:paraId="771C9BCD">
      <w:pPr>
        <w:pStyle w:val="25"/>
        <w:outlineLvl w:val="3"/>
        <w:rPr>
          <w:rFonts w:hint="default"/>
        </w:rPr>
      </w:pPr>
      <w:r>
        <w:rPr>
          <w:b/>
          <w:sz w:val="24"/>
        </w:rPr>
        <w:t>1.总则</w:t>
      </w:r>
    </w:p>
    <w:p w14:paraId="571D19CD">
      <w:pPr>
        <w:pStyle w:val="25"/>
        <w:ind w:firstLine="480"/>
        <w:rPr>
          <w:rFonts w:hint="default"/>
        </w:rPr>
      </w:pPr>
      <w:r>
        <w:t>采购人、采购代理机构及投标人进行的本次采购活动适用《中华人民共和国政府采购法》及其配套的法规、规章、政策。</w:t>
      </w:r>
    </w:p>
    <w:p w14:paraId="213E66DB">
      <w:pPr>
        <w:pStyle w:val="25"/>
        <w:ind w:firstLine="480"/>
        <w:rPr>
          <w:rFonts w:hint="default"/>
        </w:rPr>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039357E1">
      <w:pPr>
        <w:pStyle w:val="25"/>
        <w:ind w:firstLine="480"/>
        <w:rPr>
          <w:rFonts w:hint="default"/>
        </w:rPr>
      </w:pPr>
      <w:r>
        <w:t>本次公开招标项目，是以招标公告的方式邀请非特定的投标人参加投标。</w:t>
      </w:r>
    </w:p>
    <w:p w14:paraId="4F103B3F">
      <w:pPr>
        <w:pStyle w:val="25"/>
        <w:outlineLvl w:val="3"/>
        <w:rPr>
          <w:rFonts w:hint="default"/>
        </w:rPr>
      </w:pPr>
      <w:r>
        <w:rPr>
          <w:b/>
          <w:sz w:val="24"/>
        </w:rPr>
        <w:t>2.适用范围</w:t>
      </w:r>
    </w:p>
    <w:p w14:paraId="3EB67EA2">
      <w:pPr>
        <w:pStyle w:val="25"/>
        <w:ind w:firstLine="480"/>
        <w:rPr>
          <w:rFonts w:hint="default"/>
        </w:rPr>
      </w:pPr>
      <w:r>
        <w:t>本招标文件仅适用于本次招标公告中所涉及的项目和内容。</w:t>
      </w:r>
    </w:p>
    <w:p w14:paraId="7034B827">
      <w:pPr>
        <w:pStyle w:val="25"/>
        <w:outlineLvl w:val="3"/>
        <w:rPr>
          <w:rFonts w:hint="default"/>
        </w:rPr>
      </w:pPr>
      <w:r>
        <w:rPr>
          <w:b/>
          <w:sz w:val="24"/>
        </w:rPr>
        <w:t>3.进口产品</w:t>
      </w:r>
    </w:p>
    <w:p w14:paraId="1A007CD8">
      <w:pPr>
        <w:pStyle w:val="25"/>
        <w:ind w:firstLine="480"/>
        <w:rPr>
          <w:rFonts w:hint="default"/>
        </w:rPr>
      </w:pPr>
      <w:r>
        <w:t>若本项目允许采购进口产品，供应商应保证所投产品可履行合法报通关手续进入中国关境内。</w:t>
      </w:r>
    </w:p>
    <w:p w14:paraId="4DF54D41">
      <w:pPr>
        <w:pStyle w:val="25"/>
        <w:ind w:firstLine="400" w:firstLineChars="200"/>
        <w:rPr>
          <w:rFonts w:hint="default"/>
        </w:rPr>
      </w:pPr>
      <w:r>
        <w:t>若本项目不允许采购进口产品，如供应商所投产品为进口产品，其响应将被认定为响应无效。</w:t>
      </w:r>
    </w:p>
    <w:p w14:paraId="58FC1813">
      <w:pPr>
        <w:pStyle w:val="25"/>
        <w:outlineLvl w:val="3"/>
        <w:rPr>
          <w:rFonts w:hint="default"/>
        </w:rPr>
      </w:pPr>
      <w:r>
        <w:rPr>
          <w:b/>
          <w:sz w:val="24"/>
        </w:rPr>
        <w:t>4.投标的费用</w:t>
      </w:r>
    </w:p>
    <w:p w14:paraId="53BB210C">
      <w:pPr>
        <w:pStyle w:val="25"/>
        <w:ind w:firstLine="480"/>
        <w:rPr>
          <w:rFonts w:hint="default"/>
        </w:rPr>
      </w:pPr>
      <w:r>
        <w:t>不论投标结果如何，投标人应承担所有与准备和参加投标有关的费用。采购代理机构和采购人均无义务和责任承担相关费用。</w:t>
      </w:r>
    </w:p>
    <w:p w14:paraId="3CD271E1">
      <w:pPr>
        <w:pStyle w:val="25"/>
        <w:outlineLvl w:val="3"/>
        <w:rPr>
          <w:rFonts w:hint="default"/>
        </w:rPr>
      </w:pPr>
      <w:r>
        <w:rPr>
          <w:b/>
          <w:sz w:val="24"/>
        </w:rPr>
        <w:t>5.以联合体形式投标的，应符合以下规定：</w:t>
      </w:r>
    </w:p>
    <w:p w14:paraId="6EF2B224">
      <w:pPr>
        <w:pStyle w:val="25"/>
        <w:ind w:firstLine="480"/>
        <w:rPr>
          <w:rFonts w:hint="default"/>
        </w:rPr>
      </w:pPr>
      <w:r>
        <w:t>5.1联合体各方均应当满足《中华人民共和国政府采购法》第二十二条规定的条件，并在投标文件中提供联合体各方的相关证明材料。</w:t>
      </w:r>
    </w:p>
    <w:p w14:paraId="745F51C9">
      <w:pPr>
        <w:pStyle w:val="25"/>
        <w:outlineLvl w:val="3"/>
        <w:rPr>
          <w:rFonts w:hint="default"/>
        </w:rPr>
      </w:pPr>
      <w:r>
        <w:rPr>
          <w:b/>
          <w:sz w:val="24"/>
        </w:rPr>
        <w:t>6.关联企业投标说明</w:t>
      </w:r>
    </w:p>
    <w:p w14:paraId="73EF2849">
      <w:pPr>
        <w:pStyle w:val="25"/>
        <w:ind w:firstLine="480"/>
        <w:rPr>
          <w:rFonts w:hint="default"/>
        </w:rPr>
      </w:pPr>
      <w: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6869785C">
      <w:pPr>
        <w:pStyle w:val="25"/>
        <w:ind w:firstLine="480"/>
        <w:rPr>
          <w:rFonts w:hint="default"/>
        </w:rPr>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71A8CA07">
      <w:pPr>
        <w:pStyle w:val="25"/>
        <w:outlineLvl w:val="3"/>
        <w:rPr>
          <w:rFonts w:hint="default"/>
        </w:rPr>
      </w:pPr>
      <w:r>
        <w:rPr>
          <w:b/>
          <w:sz w:val="24"/>
        </w:rPr>
        <w:t>7.关于中小微企业投标</w:t>
      </w:r>
    </w:p>
    <w:p w14:paraId="223F0F57">
      <w:pPr>
        <w:pStyle w:val="25"/>
        <w:ind w:firstLine="480"/>
        <w:rPr>
          <w:rFonts w:hint="default"/>
        </w:rPr>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4FB60D39">
      <w:pPr>
        <w:pStyle w:val="25"/>
        <w:ind w:firstLine="480"/>
        <w:rPr>
          <w:rFonts w:hint="default"/>
        </w:rPr>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580B9B53">
      <w:pPr>
        <w:pStyle w:val="25"/>
        <w:ind w:firstLine="480"/>
        <w:rPr>
          <w:rFonts w:hint="default"/>
        </w:rPr>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78A44ACD">
      <w:pPr>
        <w:pStyle w:val="25"/>
        <w:outlineLvl w:val="3"/>
        <w:rPr>
          <w:rFonts w:hint="default"/>
        </w:rPr>
      </w:pPr>
      <w:r>
        <w:rPr>
          <w:b/>
          <w:sz w:val="24"/>
        </w:rPr>
        <w:t>8.纪律与保密事项</w:t>
      </w:r>
    </w:p>
    <w:p w14:paraId="11F72F54">
      <w:pPr>
        <w:pStyle w:val="25"/>
        <w:ind w:firstLine="480"/>
        <w:rPr>
          <w:rFonts w:hint="default"/>
        </w:rPr>
      </w:pPr>
      <w:r>
        <w:t>8.1投标人不得相互串通投标报价，不得妨碍其他投标人的公平竞争，不得损害采购人或其他投标人的合法权益，投标人不得以向采购人、评标委员会成员行贿或者采取其他不正当手段谋取中标。</w:t>
      </w:r>
    </w:p>
    <w:p w14:paraId="7AE67671">
      <w:pPr>
        <w:pStyle w:val="25"/>
        <w:ind w:firstLine="480"/>
        <w:rPr>
          <w:rFonts w:hint="default"/>
        </w:rPr>
      </w:pPr>
      <w:r>
        <w:t>8.2在确定</w:t>
      </w:r>
      <w:r>
        <w:rPr>
          <w:lang w:eastAsia="zh-CN"/>
        </w:rPr>
        <w:t>中标人</w:t>
      </w:r>
      <w:r>
        <w:t>之前，投标人不得与采购人就投标价格、</w:t>
      </w:r>
      <w:r>
        <w:rPr>
          <w:lang w:eastAsia="zh-CN"/>
        </w:rPr>
        <w:t>投标人</w:t>
      </w:r>
      <w:r>
        <w:t>案等实质性内容进行谈判，也不得私下接触评标委员会成员。</w:t>
      </w:r>
    </w:p>
    <w:p w14:paraId="30E5481D">
      <w:pPr>
        <w:pStyle w:val="25"/>
        <w:ind w:firstLine="480"/>
        <w:rPr>
          <w:rFonts w:hint="default"/>
        </w:rPr>
      </w:pPr>
      <w:r>
        <w:t>8.3在确定</w:t>
      </w:r>
      <w:r>
        <w:rPr>
          <w:lang w:eastAsia="zh-CN"/>
        </w:rPr>
        <w:t>中标人</w:t>
      </w:r>
      <w:r>
        <w:t>之前，投标人试图在投标文件审查、澄清、比较和评价时对评标委员会、采购人和采购代理机构施加任何影响都可能导致其投标无效。</w:t>
      </w:r>
    </w:p>
    <w:p w14:paraId="54143DC2">
      <w:pPr>
        <w:pStyle w:val="25"/>
        <w:ind w:firstLine="480"/>
        <w:rPr>
          <w:rFonts w:hint="default"/>
        </w:rPr>
      </w:pPr>
      <w:r>
        <w:t>8.4获得本招标文件者，须履行本项目下保密义务，不得将因本次项目获得的信息向第三人外传，不得将招标文件用作本次投标以外的任何用途。</w:t>
      </w:r>
    </w:p>
    <w:p w14:paraId="0ADB9A3F">
      <w:pPr>
        <w:pStyle w:val="25"/>
        <w:ind w:firstLine="480"/>
        <w:rPr>
          <w:rFonts w:hint="default"/>
        </w:rPr>
      </w:pPr>
      <w: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3DD04736">
      <w:pPr>
        <w:pStyle w:val="25"/>
        <w:ind w:firstLine="480"/>
        <w:rPr>
          <w:rFonts w:hint="default"/>
        </w:rPr>
      </w:pPr>
      <w:r>
        <w:t>8.6采购人或采购代理机构有权将供应商提供的所有资料向有关政府部门或评审小组披露。</w:t>
      </w:r>
    </w:p>
    <w:p w14:paraId="36ABD18A">
      <w:pPr>
        <w:pStyle w:val="25"/>
        <w:ind w:firstLine="480"/>
        <w:rPr>
          <w:rFonts w:hint="default"/>
        </w:rPr>
      </w:pPr>
      <w: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1A1B8CF5">
      <w:pPr>
        <w:pStyle w:val="25"/>
        <w:outlineLvl w:val="3"/>
        <w:rPr>
          <w:rFonts w:hint="default"/>
        </w:rPr>
      </w:pPr>
      <w:r>
        <w:rPr>
          <w:b/>
          <w:sz w:val="24"/>
        </w:rPr>
        <w:t>9.语言文字以及度量衡单位</w:t>
      </w:r>
    </w:p>
    <w:p w14:paraId="7BCEA367">
      <w:pPr>
        <w:pStyle w:val="25"/>
        <w:ind w:firstLine="480"/>
        <w:rPr>
          <w:rFonts w:hint="default"/>
        </w:rPr>
      </w:pPr>
      <w: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10D2563">
      <w:pPr>
        <w:pStyle w:val="25"/>
        <w:ind w:firstLine="480"/>
        <w:rPr>
          <w:rFonts w:hint="default"/>
        </w:rPr>
      </w:pPr>
      <w:r>
        <w:t>9.2除非招标文件的技术规格中另有规定，投标人在投标文件中及其与采购人和采购代理机构的所有往来文件中的计量单位均应采用中华人民共和国法定计量单位。</w:t>
      </w:r>
    </w:p>
    <w:p w14:paraId="183B5AA9">
      <w:pPr>
        <w:pStyle w:val="25"/>
        <w:ind w:firstLine="480"/>
        <w:rPr>
          <w:rFonts w:hint="default"/>
        </w:rPr>
      </w:pPr>
      <w:r>
        <w:t>9.3投标人所提供的货物和服务均应以人民币报价，货币单位：元。</w:t>
      </w:r>
    </w:p>
    <w:p w14:paraId="7355A389">
      <w:pPr>
        <w:pStyle w:val="25"/>
        <w:outlineLvl w:val="3"/>
        <w:rPr>
          <w:rFonts w:hint="default"/>
        </w:rPr>
      </w:pPr>
      <w:r>
        <w:rPr>
          <w:b/>
          <w:sz w:val="24"/>
        </w:rPr>
        <w:t>10. 现场踏勘（如有）</w:t>
      </w:r>
    </w:p>
    <w:p w14:paraId="7973B937">
      <w:pPr>
        <w:pStyle w:val="25"/>
        <w:ind w:firstLine="480"/>
        <w:rPr>
          <w:rFonts w:hint="default"/>
        </w:rPr>
      </w:pPr>
      <w:r>
        <w:t>10.1招标文件规定组织踏勘现场的，采购人按招标文件规定的时间、地点组织投标人踏勘项目现场。</w:t>
      </w:r>
    </w:p>
    <w:p w14:paraId="442E1188">
      <w:pPr>
        <w:pStyle w:val="25"/>
        <w:ind w:firstLine="480"/>
        <w:rPr>
          <w:rFonts w:hint="default"/>
        </w:rPr>
      </w:pPr>
      <w:r>
        <w:t>10.2投标人自行承担踏勘现场发生的责任、风险和自身费用。</w:t>
      </w:r>
    </w:p>
    <w:p w14:paraId="5B0E086E">
      <w:pPr>
        <w:pStyle w:val="25"/>
        <w:ind w:firstLine="480"/>
        <w:rPr>
          <w:rFonts w:hint="default"/>
        </w:rPr>
      </w:pPr>
      <w:r>
        <w:t>10.3采购人在踏勘现场中介绍的资料和数据等，只是为了使投标人能够利用招标人现有的资料。招标人对投标人由此而作出的推论、解释和结论概不负责。</w:t>
      </w:r>
    </w:p>
    <w:p w14:paraId="2CDFE78D">
      <w:pPr>
        <w:pStyle w:val="25"/>
        <w:outlineLvl w:val="2"/>
        <w:rPr>
          <w:rFonts w:hint="default"/>
        </w:rPr>
      </w:pPr>
      <w:r>
        <w:rPr>
          <w:b/>
          <w:sz w:val="28"/>
        </w:rPr>
        <w:t>四、招标文件的澄清和修改</w:t>
      </w:r>
    </w:p>
    <w:p w14:paraId="72AA5C19">
      <w:pPr>
        <w:pStyle w:val="25"/>
        <w:ind w:firstLine="480"/>
        <w:rPr>
          <w:rFonts w:hint="default"/>
        </w:rPr>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6A35C756">
      <w:pPr>
        <w:pStyle w:val="25"/>
        <w:ind w:firstLine="480"/>
        <w:rPr>
          <w:rFonts w:hint="default"/>
        </w:rPr>
      </w:pPr>
      <w:r>
        <w:t xml:space="preserve"> 2.更正公告及其所发布的内容或信息（包括但不限于：招标文件的澄清或修改、现场考察或答疑会的有关事宜等）作为招标文件的组成部分，对投标人具有约束力。一经在媒体上发布后，更正公告将作为通知所有招标文件收受人的书面形式。</w:t>
      </w:r>
    </w:p>
    <w:p w14:paraId="317DD5A7">
      <w:pPr>
        <w:pStyle w:val="25"/>
        <w:ind w:firstLine="480"/>
        <w:rPr>
          <w:rFonts w:hint="default"/>
        </w:rPr>
      </w:pPr>
      <w:r>
        <w:t>3.如更正公告有重新发布招标文件的，供应商应下载最新发布的招标文件制作投标文件。</w:t>
      </w:r>
    </w:p>
    <w:p w14:paraId="09BAC0E8">
      <w:pPr>
        <w:pStyle w:val="25"/>
        <w:ind w:firstLine="480"/>
        <w:rPr>
          <w:rFonts w:hint="default"/>
        </w:rPr>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721BF78D">
      <w:pPr>
        <w:pStyle w:val="25"/>
        <w:outlineLvl w:val="2"/>
        <w:rPr>
          <w:rFonts w:hint="default"/>
        </w:rPr>
      </w:pPr>
      <w:r>
        <w:rPr>
          <w:b/>
          <w:sz w:val="28"/>
        </w:rPr>
        <w:t>五、投标要求</w:t>
      </w:r>
    </w:p>
    <w:p w14:paraId="7A6C9EFF">
      <w:pPr>
        <w:pStyle w:val="25"/>
        <w:outlineLvl w:val="3"/>
        <w:rPr>
          <w:rFonts w:hint="default"/>
        </w:rPr>
      </w:pPr>
      <w:r>
        <w:rPr>
          <w:b/>
          <w:sz w:val="24"/>
        </w:rPr>
        <w:t>1.投标文件的数量、签署和密封</w:t>
      </w:r>
    </w:p>
    <w:p w14:paraId="17D27B1C">
      <w:pPr>
        <w:pStyle w:val="25"/>
        <w:ind w:firstLine="480"/>
        <w:rPr>
          <w:rFonts w:hint="default"/>
          <w:lang w:eastAsia="zh-CN"/>
        </w:rPr>
      </w:pPr>
      <w:r>
        <w:rPr>
          <w:lang w:eastAsia="zh-CN"/>
        </w:rPr>
        <w:t>1.1投标文件分为电子投标文件及纸质投标文件，开标、评标以电子投标文件为准，纸质文件份数要求见须知前附表，纸质文件可以采用电子签章后的投标文件打印，于开标现场递交，不作开启。</w:t>
      </w:r>
    </w:p>
    <w:p w14:paraId="26E7DDD7">
      <w:pPr>
        <w:pStyle w:val="25"/>
        <w:ind w:firstLine="480"/>
        <w:rPr>
          <w:rFonts w:hint="default"/>
          <w:lang w:eastAsia="zh-CN"/>
        </w:rPr>
      </w:pPr>
      <w:r>
        <w:rPr>
          <w:lang w:eastAsia="zh-CN"/>
        </w:rPr>
        <w:t>1.2投标人应将所有的纸质投标文件一起密封包装，同一信封或外包装上应当注明采购项目名称、采购项目编号和“在（招标文件中规定的开标日期和时点）之前不得启封”的字样，封口处应加盖投标人印章。</w:t>
      </w:r>
    </w:p>
    <w:p w14:paraId="2745DC1F">
      <w:pPr>
        <w:pStyle w:val="25"/>
        <w:ind w:firstLine="480"/>
        <w:rPr>
          <w:rFonts w:hint="default"/>
          <w:lang w:eastAsia="zh-CN"/>
        </w:rPr>
      </w:pPr>
      <w:r>
        <w:rPr>
          <w:lang w:eastAsia="zh-CN"/>
        </w:rPr>
        <w:t>1.3电子投标文件递交：投标文件编制完成后按规定使用信鉴易电子印章阅读器进行电子签章，完成电子签章后上传到中易电子交易平台。</w:t>
      </w:r>
    </w:p>
    <w:p w14:paraId="58C0F212">
      <w:pPr>
        <w:pStyle w:val="25"/>
        <w:ind w:firstLine="480"/>
        <w:rPr>
          <w:rFonts w:hint="default"/>
          <w:lang w:eastAsia="zh-CN"/>
        </w:rPr>
      </w:pPr>
      <w:r>
        <w:rPr>
          <w:lang w:eastAsia="zh-CN"/>
        </w:rPr>
        <w:t>1.4投标文件须进行电子签章，带法定代表或法定代表授权委托人处必须签字，投标单位在选择电子签章方式时，可选择“批量签章”方式。</w:t>
      </w:r>
    </w:p>
    <w:p w14:paraId="0686B95C">
      <w:pPr>
        <w:pStyle w:val="25"/>
        <w:ind w:firstLine="480"/>
        <w:rPr>
          <w:rFonts w:hint="default"/>
          <w:lang w:eastAsia="zh-CN"/>
        </w:rPr>
      </w:pPr>
      <w:r>
        <w:rPr>
          <w:lang w:eastAsia="zh-CN"/>
        </w:rPr>
        <w:t>1.5须进行电子签章的地方，在该页有签章即可，未加盖在指定位置的也视为有效。</w:t>
      </w:r>
    </w:p>
    <w:p w14:paraId="0CD1A74F">
      <w:pPr>
        <w:pStyle w:val="25"/>
        <w:ind w:firstLine="480"/>
        <w:rPr>
          <w:rFonts w:hint="default"/>
          <w:lang w:eastAsia="zh-CN"/>
        </w:rPr>
      </w:pPr>
      <w:r>
        <w:rPr>
          <w:lang w:eastAsia="zh-CN"/>
        </w:rPr>
        <w:t>1.6若投标人无法及时办理电子签章，可物理签章扫描上传。</w:t>
      </w:r>
    </w:p>
    <w:p w14:paraId="60E24640">
      <w:pPr>
        <w:pStyle w:val="25"/>
        <w:ind w:firstLine="480"/>
        <w:rPr>
          <w:rFonts w:hint="default"/>
          <w:lang w:eastAsia="zh-CN"/>
        </w:rPr>
      </w:pPr>
      <w:r>
        <w:rPr>
          <w:lang w:eastAsia="zh-CN"/>
        </w:rPr>
        <w:t>1.7投标文件必须符合上述要求，如出现偏离或不满足，将可能导致废标。</w:t>
      </w:r>
    </w:p>
    <w:p w14:paraId="3FDCF778">
      <w:pPr>
        <w:pStyle w:val="25"/>
        <w:outlineLvl w:val="3"/>
        <w:rPr>
          <w:rFonts w:hint="default"/>
        </w:rPr>
      </w:pPr>
      <w:r>
        <w:rPr>
          <w:b/>
          <w:sz w:val="24"/>
        </w:rPr>
        <w:t>2.投标文件的制作</w:t>
      </w:r>
    </w:p>
    <w:p w14:paraId="0D4ACF8D">
      <w:pPr>
        <w:pStyle w:val="25"/>
        <w:ind w:firstLine="480"/>
        <w:rPr>
          <w:rFonts w:hint="default"/>
        </w:rPr>
      </w:pPr>
      <w:r>
        <w:t>2.1投标文件格式要求详见第六章。</w:t>
      </w:r>
    </w:p>
    <w:p w14:paraId="72007F1B">
      <w:pPr>
        <w:pStyle w:val="25"/>
        <w:ind w:firstLine="480"/>
        <w:rPr>
          <w:rFonts w:hint="default"/>
        </w:rPr>
      </w:pPr>
      <w:r>
        <w:t>2.2关于投标报价（如有报价）说明如下：</w:t>
      </w:r>
    </w:p>
    <w:p w14:paraId="50050D76">
      <w:pPr>
        <w:pStyle w:val="25"/>
        <w:ind w:firstLine="480"/>
        <w:rPr>
          <w:rFonts w:hint="default"/>
        </w:rPr>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097CEFBA">
      <w:pPr>
        <w:pStyle w:val="25"/>
        <w:ind w:firstLine="480"/>
        <w:rPr>
          <w:rFonts w:hint="default"/>
        </w:rPr>
      </w:pPr>
      <w:r>
        <w:t>(2)投标报价包括本项目采购需求和投入使用的所有费用，包括但不限于主件、标准附件、备品备件、施工、服务、专用工具、安装、调试、检验、培训、运输、保险、税款等。</w:t>
      </w:r>
    </w:p>
    <w:p w14:paraId="659BD5CC">
      <w:pPr>
        <w:pStyle w:val="25"/>
        <w:ind w:firstLine="480"/>
        <w:rPr>
          <w:rFonts w:hint="default"/>
        </w:rPr>
      </w:pPr>
      <w:r>
        <w:t>2.3 如有对多个采购包投标的，要对每个采购包独立制作投标文件。</w:t>
      </w:r>
    </w:p>
    <w:p w14:paraId="66A7712D">
      <w:pPr>
        <w:pStyle w:val="25"/>
        <w:ind w:firstLine="480"/>
        <w:rPr>
          <w:rFonts w:hint="default"/>
        </w:rPr>
      </w:pPr>
      <w:r>
        <w:t>2.4投标人不得将同一个项目或同一个采购包的内容拆开投标，否则其报价将被视为非实质性响应。</w:t>
      </w:r>
    </w:p>
    <w:p w14:paraId="7A8811BF">
      <w:pPr>
        <w:pStyle w:val="25"/>
        <w:ind w:firstLine="480"/>
        <w:rPr>
          <w:rFonts w:hint="default"/>
        </w:rPr>
      </w:pPr>
      <w:r>
        <w:t>2.5投标人须对招标文件的对应要求给予唯一的实质性响应，否则将视为不响应。</w:t>
      </w:r>
    </w:p>
    <w:p w14:paraId="1C1E105A">
      <w:pPr>
        <w:pStyle w:val="25"/>
        <w:ind w:firstLine="480"/>
        <w:rPr>
          <w:rFonts w:hint="default"/>
        </w:rPr>
      </w:pPr>
      <w:r>
        <w:t>2.6招标文件中，凡标有“★”的地方均为实质性响应条款，投标人若有一项带“★”的条款未响应或不满足，将按无效投标处理。</w:t>
      </w:r>
    </w:p>
    <w:p w14:paraId="0870F28D">
      <w:pPr>
        <w:pStyle w:val="25"/>
        <w:ind w:firstLine="480"/>
        <w:rPr>
          <w:rFonts w:hint="default"/>
        </w:rPr>
      </w:pPr>
      <w:r>
        <w:t xml:space="preserve"> 2.7投标人必须按招标文件指定的格式填写各种报价，各报价应计算正确。除在招标文件另有规定外（如：报折扣率、报优惠率等），计量单位应使用中华人民共和国法定计量单位，以人民币填报所有报价。</w:t>
      </w:r>
    </w:p>
    <w:p w14:paraId="34BA9E02">
      <w:pPr>
        <w:pStyle w:val="25"/>
        <w:ind w:firstLine="480"/>
        <w:rPr>
          <w:rFonts w:hint="default"/>
        </w:rPr>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6C40FC70">
      <w:pPr>
        <w:pStyle w:val="25"/>
        <w:ind w:firstLine="480"/>
        <w:rPr>
          <w:rFonts w:hint="default"/>
        </w:rPr>
      </w:pPr>
      <w:r>
        <w:t xml:space="preserve"> 2.9投标人应按招标文件的规定及附件要求的内容和格式完整地填写和提供资料。</w:t>
      </w:r>
    </w:p>
    <w:p w14:paraId="64E15662">
      <w:pPr>
        <w:pStyle w:val="25"/>
        <w:outlineLvl w:val="3"/>
        <w:rPr>
          <w:rFonts w:hint="default"/>
        </w:rPr>
      </w:pPr>
      <w:r>
        <w:rPr>
          <w:b/>
          <w:sz w:val="24"/>
        </w:rPr>
        <w:t>3.投标文件的提交</w:t>
      </w:r>
    </w:p>
    <w:p w14:paraId="032E0E24">
      <w:pPr>
        <w:pStyle w:val="9"/>
        <w:adjustRightInd w:val="0"/>
        <w:snapToGrid w:val="0"/>
        <w:ind w:firstLine="400" w:firstLineChars="200"/>
        <w:rPr>
          <w:rFonts w:ascii="Calibri" w:hAnsi="Calibri" w:cs="Times New Roman"/>
          <w:b w:val="0"/>
          <w:sz w:val="20"/>
          <w:szCs w:val="20"/>
          <w:lang w:eastAsia="zh-Hans"/>
        </w:rPr>
      </w:pPr>
      <w:r>
        <w:rPr>
          <w:rFonts w:hint="eastAsia" w:ascii="Calibri" w:hAnsi="Calibri" w:cs="Times New Roman"/>
          <w:b w:val="0"/>
          <w:sz w:val="20"/>
          <w:szCs w:val="20"/>
        </w:rPr>
        <w:t>3.1纸质投标文件</w:t>
      </w:r>
      <w:r>
        <w:rPr>
          <w:rFonts w:hint="eastAsia" w:ascii="Calibri" w:hAnsi="Calibri" w:cs="Times New Roman"/>
          <w:b w:val="0"/>
          <w:sz w:val="20"/>
          <w:szCs w:val="20"/>
          <w:lang w:eastAsia="zh-Hans"/>
        </w:rPr>
        <w:t>应在本项目投标截止时间前送达开标地点</w:t>
      </w:r>
      <w:r>
        <w:rPr>
          <w:rFonts w:hint="eastAsia" w:ascii="Calibri" w:hAnsi="Calibri" w:cs="Times New Roman"/>
          <w:b w:val="0"/>
          <w:sz w:val="20"/>
          <w:szCs w:val="20"/>
        </w:rPr>
        <w:t>，电子投标文件应在投标截止时间前加密上传至中易电子交易平台</w:t>
      </w:r>
      <w:r>
        <w:rPr>
          <w:rFonts w:hint="eastAsia" w:ascii="Calibri" w:hAnsi="Calibri" w:cs="Times New Roman"/>
          <w:b w:val="0"/>
          <w:sz w:val="20"/>
          <w:szCs w:val="20"/>
          <w:lang w:eastAsia="zh-Hans"/>
        </w:rPr>
        <w:t>。</w:t>
      </w:r>
    </w:p>
    <w:p w14:paraId="04F1C3F9">
      <w:pPr>
        <w:pStyle w:val="9"/>
        <w:adjustRightInd w:val="0"/>
        <w:snapToGrid w:val="0"/>
        <w:ind w:firstLine="400" w:firstLineChars="200"/>
        <w:rPr>
          <w:rFonts w:ascii="Calibri" w:hAnsi="Calibri" w:cs="Times New Roman"/>
          <w:b w:val="0"/>
          <w:sz w:val="20"/>
          <w:szCs w:val="20"/>
          <w:lang w:eastAsia="zh-Hans"/>
        </w:rPr>
      </w:pPr>
      <w:r>
        <w:rPr>
          <w:rFonts w:hint="eastAsia" w:ascii="Calibri" w:hAnsi="Calibri" w:cs="Times New Roman"/>
          <w:b w:val="0"/>
          <w:sz w:val="20"/>
          <w:szCs w:val="20"/>
        </w:rPr>
        <w:t>3.2</w:t>
      </w:r>
      <w:r>
        <w:rPr>
          <w:rFonts w:hint="eastAsia" w:ascii="Calibri" w:hAnsi="Calibri" w:cs="Times New Roman"/>
          <w:b w:val="0"/>
          <w:sz w:val="20"/>
          <w:szCs w:val="20"/>
          <w:lang w:eastAsia="zh-Hans"/>
        </w:rPr>
        <w:t>逾期送达或者未按照招标文件要求密封的投标文件，采购人、采购代理机构应当拒收。</w:t>
      </w:r>
    </w:p>
    <w:p w14:paraId="41275A9A">
      <w:pPr>
        <w:pStyle w:val="9"/>
        <w:adjustRightInd w:val="0"/>
        <w:snapToGrid w:val="0"/>
        <w:ind w:firstLine="400" w:firstLineChars="200"/>
        <w:rPr>
          <w:rFonts w:ascii="Calibri" w:hAnsi="Calibri" w:cs="Times New Roman"/>
          <w:b w:val="0"/>
          <w:sz w:val="20"/>
          <w:szCs w:val="20"/>
          <w:lang w:eastAsia="zh-Hans"/>
        </w:rPr>
      </w:pPr>
      <w:r>
        <w:rPr>
          <w:rFonts w:hint="eastAsia" w:ascii="Calibri" w:hAnsi="Calibri" w:cs="Times New Roman"/>
          <w:b w:val="0"/>
          <w:sz w:val="20"/>
          <w:szCs w:val="20"/>
        </w:rPr>
        <w:t>3.3</w:t>
      </w:r>
      <w:r>
        <w:rPr>
          <w:rFonts w:hint="eastAsia" w:ascii="Calibri" w:hAnsi="Calibri" w:cs="Times New Roman"/>
          <w:b w:val="0"/>
          <w:sz w:val="20"/>
          <w:szCs w:val="20"/>
          <w:lang w:eastAsia="zh-Hans"/>
        </w:rPr>
        <w:t>投标文件的修改和撤回</w:t>
      </w:r>
    </w:p>
    <w:p w14:paraId="7CC34FD3">
      <w:pPr>
        <w:ind w:firstLine="400" w:firstLineChars="200"/>
        <w:rPr>
          <w:sz w:val="20"/>
          <w:szCs w:val="20"/>
          <w:lang w:eastAsia="zh-Hans"/>
        </w:rPr>
      </w:pPr>
      <w:r>
        <w:rPr>
          <w:rFonts w:hint="eastAsia"/>
          <w:sz w:val="20"/>
          <w:szCs w:val="20"/>
        </w:rPr>
        <w:t>3.3</w:t>
      </w:r>
      <w:r>
        <w:rPr>
          <w:rFonts w:hint="eastAsia"/>
          <w:sz w:val="20"/>
          <w:szCs w:val="20"/>
          <w:lang w:eastAsia="zh-Hans"/>
        </w:rPr>
        <w:t>.1投标人在投标截止时间前，可以对所递交的投标文件进行补充、修改或者撤回，并书面通知采购代理机构。补充、修改的内容应当按招标文件要求签署、盖章，并作为投标文件的组成部分。在投标截止时点之后，投标人不得对其投标文件做任何修改和补充。</w:t>
      </w:r>
    </w:p>
    <w:p w14:paraId="2D41B355">
      <w:pPr>
        <w:pStyle w:val="9"/>
        <w:adjustRightInd w:val="0"/>
        <w:snapToGrid w:val="0"/>
        <w:ind w:firstLine="400" w:firstLineChars="200"/>
        <w:rPr>
          <w:rFonts w:ascii="Calibri" w:hAnsi="Calibri" w:cs="Times New Roman"/>
          <w:b w:val="0"/>
          <w:sz w:val="20"/>
          <w:szCs w:val="20"/>
          <w:lang w:eastAsia="zh-Hans"/>
        </w:rPr>
      </w:pPr>
      <w:r>
        <w:rPr>
          <w:rFonts w:hint="eastAsia" w:ascii="Calibri" w:hAnsi="Calibri" w:cs="Times New Roman"/>
          <w:b w:val="0"/>
          <w:sz w:val="20"/>
          <w:szCs w:val="20"/>
        </w:rPr>
        <w:t>3.3</w:t>
      </w:r>
      <w:r>
        <w:rPr>
          <w:rFonts w:hint="eastAsia" w:ascii="Calibri" w:hAnsi="Calibri" w:cs="Times New Roman"/>
          <w:b w:val="0"/>
          <w:sz w:val="20"/>
          <w:szCs w:val="20"/>
          <w:lang w:eastAsia="zh-Hans"/>
        </w:rPr>
        <w:t>.2投标人所提交的投标文件在评标结束后，无论中标与否都不退还。</w:t>
      </w:r>
    </w:p>
    <w:p w14:paraId="2BEDACB9">
      <w:pPr>
        <w:pStyle w:val="25"/>
        <w:outlineLvl w:val="3"/>
        <w:rPr>
          <w:rFonts w:hint="default"/>
        </w:rPr>
      </w:pPr>
      <w:r>
        <w:rPr>
          <w:b/>
          <w:sz w:val="24"/>
        </w:rPr>
        <w:t>4.投标文件的修改、撤回与撤销</w:t>
      </w:r>
    </w:p>
    <w:p w14:paraId="2D2F29D8">
      <w:pPr>
        <w:pStyle w:val="25"/>
        <w:ind w:firstLine="480"/>
        <w:rPr>
          <w:rFonts w:hint="default"/>
          <w:lang w:eastAsia="zh-CN"/>
        </w:rPr>
      </w:pPr>
      <w:r>
        <w:rPr>
          <w:lang w:eastAsia="zh-CN"/>
        </w:rPr>
        <w:t>4.1 投标人在投标截止时间前，可以对所递交的投标文件进行补充、修改或者撤回，并书面通知采购人或采购代理机构。补充、修改的内容应当按招标文件要求签署、盖章，并作为投标文件的组成部分。在投标截止时点之后，投标人不得对其投标文件做任何修改和补充。</w:t>
      </w:r>
    </w:p>
    <w:p w14:paraId="0730FB94">
      <w:pPr>
        <w:pStyle w:val="25"/>
        <w:ind w:firstLine="480"/>
        <w:rPr>
          <w:rFonts w:hint="default"/>
          <w:lang w:eastAsia="zh-CN"/>
        </w:rPr>
      </w:pPr>
      <w:r>
        <w:rPr>
          <w:lang w:eastAsia="zh-CN"/>
        </w:rPr>
        <w:t>4.2 投标人在递交投标文件后，可以撤回其投标，但投标人必须在规定的投标截止时点前以书面形式告知采购人或采购代理机构。</w:t>
      </w:r>
    </w:p>
    <w:p w14:paraId="5629C333">
      <w:pPr>
        <w:pStyle w:val="25"/>
        <w:ind w:firstLine="480"/>
        <w:rPr>
          <w:rFonts w:hint="default"/>
          <w:lang w:eastAsia="zh-CN"/>
        </w:rPr>
      </w:pPr>
      <w:r>
        <w:rPr>
          <w:lang w:eastAsia="zh-CN"/>
        </w:rPr>
        <w:t>4.3 投标人所提交的投标文件在评标结束后，无论中标与否都不退还。</w:t>
      </w:r>
    </w:p>
    <w:p w14:paraId="4426F08D">
      <w:pPr>
        <w:pStyle w:val="25"/>
        <w:outlineLvl w:val="3"/>
        <w:rPr>
          <w:rFonts w:hint="default"/>
        </w:rPr>
      </w:pPr>
      <w:r>
        <w:rPr>
          <w:b/>
          <w:sz w:val="24"/>
        </w:rPr>
        <w:t>5.投标有效期</w:t>
      </w:r>
    </w:p>
    <w:p w14:paraId="5D2E7778">
      <w:pPr>
        <w:pStyle w:val="25"/>
        <w:ind w:firstLine="480"/>
        <w:rPr>
          <w:rFonts w:hint="default"/>
          <w:lang w:eastAsia="zh-CN"/>
        </w:rPr>
      </w:pPr>
      <w:r>
        <w:rPr>
          <w:lang w:eastAsia="zh-CN"/>
        </w:rPr>
        <w:t>5</w:t>
      </w:r>
      <w:r>
        <w:t>.1从提交投标（响应）文件的截止之日起90日历天</w:t>
      </w:r>
      <w:r>
        <w:rPr>
          <w:lang w:eastAsia="zh-CN"/>
        </w:rPr>
        <w:t>。</w:t>
      </w:r>
    </w:p>
    <w:p w14:paraId="79381910">
      <w:pPr>
        <w:pStyle w:val="25"/>
        <w:outlineLvl w:val="3"/>
        <w:rPr>
          <w:rFonts w:hint="default"/>
        </w:rPr>
      </w:pPr>
      <w:r>
        <w:rPr>
          <w:b/>
          <w:sz w:val="24"/>
          <w:lang w:eastAsia="zh-CN"/>
        </w:rPr>
        <w:t>6</w:t>
      </w:r>
      <w:r>
        <w:rPr>
          <w:b/>
          <w:sz w:val="24"/>
        </w:rPr>
        <w:t>.样品（演示）</w:t>
      </w:r>
    </w:p>
    <w:p w14:paraId="03935434">
      <w:pPr>
        <w:pStyle w:val="25"/>
        <w:ind w:firstLine="480"/>
        <w:rPr>
          <w:rFonts w:hint="default"/>
        </w:rPr>
      </w:pPr>
      <w:r>
        <w:rPr>
          <w:lang w:eastAsia="zh-CN"/>
        </w:rPr>
        <w:t>6</w:t>
      </w:r>
      <w:r>
        <w:t>.1招标文件规定投标人提交样品的，样品属于投标文件的组成部分。样品的生产、运输、安装、保全等一切费用由投标人自理。</w:t>
      </w:r>
    </w:p>
    <w:p w14:paraId="4E44AF7F">
      <w:pPr>
        <w:pStyle w:val="25"/>
        <w:ind w:firstLine="480"/>
        <w:rPr>
          <w:rFonts w:hint="default"/>
        </w:rPr>
      </w:pPr>
      <w:r>
        <w:rPr>
          <w:lang w:eastAsia="zh-CN"/>
        </w:rPr>
        <w:t>6</w:t>
      </w:r>
      <w:r>
        <w:t>.2投标截止时间前，投标人应将样品送达至指定地点。若需要现场演示的，投标人应提前做好演示准备（包括演示设备）。</w:t>
      </w:r>
    </w:p>
    <w:p w14:paraId="6AD02D3F">
      <w:pPr>
        <w:pStyle w:val="25"/>
        <w:ind w:firstLine="480"/>
        <w:rPr>
          <w:rFonts w:hint="default"/>
        </w:rPr>
      </w:pPr>
      <w:r>
        <w:rPr>
          <w:lang w:eastAsia="zh-CN"/>
        </w:rPr>
        <w:t>6</w:t>
      </w:r>
      <w:r>
        <w:t>.3采购结果公告发布后，</w:t>
      </w:r>
      <w:r>
        <w:rPr>
          <w:lang w:eastAsia="zh-CN"/>
        </w:rPr>
        <w:t>中标人</w:t>
      </w:r>
      <w:r>
        <w:t>的样品由采购人封存，作为履约验收的依据之一。未</w:t>
      </w:r>
      <w:r>
        <w:rPr>
          <w:lang w:eastAsia="zh-CN"/>
        </w:rPr>
        <w:t>中标人</w:t>
      </w:r>
      <w:r>
        <w:t>在接到采购代理机构通知后，应按规定时间尽快自行取回样品，否则视同供应商不再认领，代理机构有权进行处理。</w:t>
      </w:r>
    </w:p>
    <w:p w14:paraId="2B4124E4">
      <w:pPr>
        <w:pStyle w:val="25"/>
        <w:outlineLvl w:val="3"/>
        <w:rPr>
          <w:rFonts w:hint="default"/>
        </w:rPr>
      </w:pPr>
      <w:r>
        <w:rPr>
          <w:b/>
          <w:sz w:val="24"/>
          <w:lang w:eastAsia="zh-CN"/>
        </w:rPr>
        <w:t>7</w:t>
      </w:r>
      <w:r>
        <w:rPr>
          <w:b/>
          <w:sz w:val="24"/>
        </w:rPr>
        <w:t>.除招标文件另有规定外，有下列情形之一的，投标无效：</w:t>
      </w:r>
    </w:p>
    <w:p w14:paraId="2A28657E">
      <w:pPr>
        <w:pStyle w:val="25"/>
        <w:ind w:firstLine="480"/>
        <w:rPr>
          <w:rFonts w:hint="default"/>
          <w:lang w:eastAsia="zh-CN"/>
        </w:rPr>
      </w:pPr>
      <w:r>
        <w:rPr>
          <w:lang w:eastAsia="zh-CN"/>
        </w:rPr>
        <w:t>7.1未按照招标文件的规定提交投标保证金的；</w:t>
      </w:r>
    </w:p>
    <w:p w14:paraId="6FE1F96E">
      <w:pPr>
        <w:pStyle w:val="25"/>
        <w:ind w:firstLine="480"/>
        <w:rPr>
          <w:rFonts w:hint="default"/>
        </w:rPr>
      </w:pPr>
      <w:r>
        <w:rPr>
          <w:lang w:eastAsia="zh-CN"/>
        </w:rPr>
        <w:t>7</w:t>
      </w:r>
      <w:r>
        <w:t>.</w:t>
      </w:r>
      <w:r>
        <w:rPr>
          <w:lang w:eastAsia="zh-CN"/>
        </w:rPr>
        <w:t>2</w:t>
      </w:r>
      <w:r>
        <w:t>投标文件未按照招标文件要求签署、盖章；</w:t>
      </w:r>
    </w:p>
    <w:p w14:paraId="651D8DA6">
      <w:pPr>
        <w:pStyle w:val="25"/>
        <w:ind w:firstLine="480"/>
        <w:rPr>
          <w:rFonts w:hint="default"/>
        </w:rPr>
      </w:pPr>
      <w:r>
        <w:rPr>
          <w:lang w:eastAsia="zh-CN"/>
        </w:rPr>
        <w:t>7</w:t>
      </w:r>
      <w:r>
        <w:t>.</w:t>
      </w:r>
      <w:r>
        <w:rPr>
          <w:lang w:eastAsia="zh-CN"/>
        </w:rPr>
        <w:t>3</w:t>
      </w:r>
      <w:r>
        <w:t>不符合招标文件中规定的资格要求；</w:t>
      </w:r>
    </w:p>
    <w:p w14:paraId="66CA874A">
      <w:pPr>
        <w:pStyle w:val="25"/>
        <w:ind w:firstLine="480"/>
        <w:rPr>
          <w:rFonts w:hint="default"/>
        </w:rPr>
      </w:pPr>
      <w:r>
        <w:rPr>
          <w:lang w:eastAsia="zh-CN"/>
        </w:rPr>
        <w:t>7</w:t>
      </w:r>
      <w:r>
        <w:t>.</w:t>
      </w:r>
      <w:r>
        <w:rPr>
          <w:lang w:eastAsia="zh-CN"/>
        </w:rPr>
        <w:t>4</w:t>
      </w:r>
      <w:r>
        <w:t>投标报价超过招标文件中规定的预算金额或最高限价；</w:t>
      </w:r>
    </w:p>
    <w:p w14:paraId="3FED4906">
      <w:pPr>
        <w:pStyle w:val="25"/>
        <w:ind w:firstLine="480"/>
        <w:rPr>
          <w:rFonts w:hint="default"/>
        </w:rPr>
      </w:pPr>
      <w:r>
        <w:rPr>
          <w:lang w:eastAsia="zh-CN"/>
        </w:rPr>
        <w:t>7</w:t>
      </w:r>
      <w:r>
        <w:t>.</w:t>
      </w:r>
      <w:r>
        <w:rPr>
          <w:lang w:eastAsia="zh-CN"/>
        </w:rPr>
        <w:t>5</w:t>
      </w:r>
      <w:r>
        <w:t>投标文件含有采购人不能接受的附加条件；</w:t>
      </w:r>
    </w:p>
    <w:p w14:paraId="2C70C0F2">
      <w:pPr>
        <w:pStyle w:val="25"/>
        <w:ind w:firstLine="480"/>
        <w:rPr>
          <w:rFonts w:hint="default"/>
        </w:rPr>
      </w:pPr>
      <w:r>
        <w:rPr>
          <w:lang w:eastAsia="zh-CN"/>
        </w:rPr>
        <w:t>7</w:t>
      </w:r>
      <w:r>
        <w:t>.</w:t>
      </w:r>
      <w:r>
        <w:rPr>
          <w:lang w:eastAsia="zh-CN"/>
        </w:rPr>
        <w:t>6</w:t>
      </w:r>
      <w:r>
        <w:t>有关法律、法规和规章及招标文件规定的其他无效情形。</w:t>
      </w:r>
    </w:p>
    <w:p w14:paraId="5384AE1C">
      <w:pPr>
        <w:pStyle w:val="25"/>
        <w:outlineLvl w:val="2"/>
        <w:rPr>
          <w:rFonts w:hint="default"/>
        </w:rPr>
      </w:pPr>
      <w:r>
        <w:rPr>
          <w:b/>
          <w:sz w:val="28"/>
        </w:rPr>
        <w:t>六、开标、评标和定标</w:t>
      </w:r>
    </w:p>
    <w:p w14:paraId="5FDEBB86">
      <w:pPr>
        <w:pStyle w:val="25"/>
        <w:outlineLvl w:val="3"/>
        <w:rPr>
          <w:rFonts w:hint="default"/>
        </w:rPr>
      </w:pPr>
      <w:r>
        <w:rPr>
          <w:b/>
          <w:sz w:val="24"/>
        </w:rPr>
        <w:t>1.开标</w:t>
      </w:r>
    </w:p>
    <w:p w14:paraId="66B383E1">
      <w:pPr>
        <w:pStyle w:val="25"/>
        <w:ind w:firstLine="480"/>
        <w:rPr>
          <w:rFonts w:hint="default"/>
        </w:rPr>
      </w:pPr>
      <w:r>
        <w:t>1.1 开标程序</w:t>
      </w:r>
    </w:p>
    <w:p w14:paraId="67D1BBEA">
      <w:pPr>
        <w:pStyle w:val="25"/>
        <w:ind w:firstLine="480"/>
        <w:rPr>
          <w:rFonts w:hint="default"/>
        </w:rPr>
      </w:pPr>
      <w:r>
        <w:rPr>
          <w:lang w:eastAsia="zh-CN"/>
        </w:rPr>
        <w:t>1.1</w:t>
      </w:r>
      <w:r>
        <w:t xml:space="preserve">.1 </w:t>
      </w:r>
      <w:r>
        <w:rPr>
          <w:lang w:eastAsia="zh-CN"/>
        </w:rPr>
        <w:t>采购人或采购代理机构</w:t>
      </w:r>
      <w:r>
        <w:t>在规定的日期、时间和地点组织公开开标。开标时原则上应当有采购人代表和投标人代表参加。参加开标的代表应签到以证明其出席。</w:t>
      </w:r>
    </w:p>
    <w:p w14:paraId="3E49FFD8">
      <w:pPr>
        <w:pStyle w:val="25"/>
        <w:ind w:firstLine="480"/>
        <w:rPr>
          <w:rFonts w:hint="default"/>
        </w:rPr>
      </w:pPr>
      <w:r>
        <w:rPr>
          <w:lang w:eastAsia="zh-CN"/>
        </w:rPr>
        <w:t>1.1</w:t>
      </w:r>
      <w:r>
        <w:t>.2 开标时，由中易电子交易平台检查响应文件的加密情况，由</w:t>
      </w:r>
      <w:r>
        <w:rPr>
          <w:lang w:eastAsia="zh-CN"/>
        </w:rPr>
        <w:t>采购人或采购代理机构</w:t>
      </w:r>
      <w:r>
        <w:t>委托的机构检查并见证，经确认无误后由招标工作人员通知各投标人代表进行解密，宣读投标人名称、投标价格、价格折扣、投标文件的其他主要内容和招标文件允许提供的备选投标方案；不参与现场开标的投标人，请按招标文件规定的时间内登录中易电子交易平台进行签到、解密。</w:t>
      </w:r>
    </w:p>
    <w:p w14:paraId="74061FBB">
      <w:pPr>
        <w:pStyle w:val="25"/>
        <w:ind w:firstLine="480"/>
        <w:rPr>
          <w:rFonts w:hint="default"/>
        </w:rPr>
      </w:pPr>
      <w:r>
        <w:rPr>
          <w:lang w:eastAsia="zh-CN"/>
        </w:rPr>
        <w:t>1.1</w:t>
      </w:r>
      <w:r>
        <w:t xml:space="preserve">.3 </w:t>
      </w:r>
      <w:r>
        <w:rPr>
          <w:lang w:eastAsia="zh-CN"/>
        </w:rPr>
        <w:t>采购人或采购代理机构</w:t>
      </w:r>
      <w:r>
        <w:t>做好开标记录，开标记录由各投标人签字确认。投标人未参加开标的，视同认可开标结果。</w:t>
      </w:r>
    </w:p>
    <w:p w14:paraId="7DCBB0E2">
      <w:pPr>
        <w:pStyle w:val="25"/>
        <w:ind w:firstLine="480"/>
        <w:rPr>
          <w:rFonts w:hint="default"/>
        </w:rPr>
      </w:pPr>
      <w:r>
        <w:t>1.2开标异议</w:t>
      </w:r>
    </w:p>
    <w:p w14:paraId="3C5DEDA7">
      <w:pPr>
        <w:pStyle w:val="25"/>
        <w:ind w:firstLine="480"/>
        <w:rPr>
          <w:rFonts w:hint="default"/>
        </w:rPr>
      </w:pPr>
      <w:r>
        <w:t>投标人代表对开标过程和开标记录有疑义，以及认为采购人、采购代理机构相关工作人员有需要回避的情形的，应当场提出询问或者回避申请。投标人未参加开标的，视同认可开标结果。</w:t>
      </w:r>
    </w:p>
    <w:p w14:paraId="591FEE1C">
      <w:pPr>
        <w:pStyle w:val="25"/>
        <w:outlineLvl w:val="3"/>
        <w:rPr>
          <w:rFonts w:hint="default"/>
        </w:rPr>
      </w:pPr>
      <w:r>
        <w:rPr>
          <w:b/>
          <w:sz w:val="24"/>
        </w:rPr>
        <w:t>2.评审（详见第四章）</w:t>
      </w:r>
    </w:p>
    <w:p w14:paraId="32B83E66">
      <w:pPr>
        <w:pStyle w:val="25"/>
        <w:outlineLvl w:val="3"/>
        <w:rPr>
          <w:rFonts w:hint="default"/>
        </w:rPr>
      </w:pPr>
      <w:r>
        <w:rPr>
          <w:b/>
          <w:sz w:val="24"/>
        </w:rPr>
        <w:t>3.定标</w:t>
      </w:r>
    </w:p>
    <w:p w14:paraId="4383EBBA">
      <w:pPr>
        <w:pStyle w:val="25"/>
        <w:ind w:firstLine="480"/>
        <w:rPr>
          <w:rFonts w:hint="default"/>
          <w:lang w:eastAsia="zh-CN"/>
        </w:rPr>
      </w:pPr>
      <w:r>
        <w:rPr>
          <w:lang w:eastAsia="zh-CN"/>
        </w:rPr>
        <w:t>3.1定标方法：（详见第四章）</w:t>
      </w:r>
    </w:p>
    <w:p w14:paraId="6DDCEA7E">
      <w:pPr>
        <w:pStyle w:val="25"/>
        <w:ind w:firstLine="480"/>
        <w:rPr>
          <w:rFonts w:hint="default"/>
          <w:lang w:eastAsia="zh-CN"/>
        </w:rPr>
      </w:pPr>
      <w:r>
        <w:rPr>
          <w:lang w:eastAsia="zh-CN"/>
        </w:rPr>
        <w:t>3.2定标因素：（详见第四章）</w:t>
      </w:r>
    </w:p>
    <w:p w14:paraId="70254D40">
      <w:pPr>
        <w:pStyle w:val="25"/>
        <w:ind w:firstLine="480"/>
        <w:rPr>
          <w:rFonts w:hint="default"/>
          <w:lang w:eastAsia="zh-CN"/>
        </w:rPr>
      </w:pPr>
      <w:r>
        <w:rPr>
          <w:lang w:eastAsia="zh-CN"/>
        </w:rPr>
        <w:t>3.3 定标时间：（详见第四章）</w:t>
      </w:r>
    </w:p>
    <w:p w14:paraId="11F10A6F">
      <w:pPr>
        <w:pStyle w:val="25"/>
        <w:ind w:firstLine="480"/>
        <w:rPr>
          <w:rFonts w:hint="default"/>
          <w:lang w:eastAsia="zh-CN"/>
        </w:rPr>
      </w:pPr>
      <w:r>
        <w:rPr>
          <w:lang w:eastAsia="zh-CN"/>
        </w:rPr>
        <w:t>3.4中标候选人公示</w:t>
      </w:r>
    </w:p>
    <w:p w14:paraId="108C4131">
      <w:pPr>
        <w:pStyle w:val="25"/>
        <w:ind w:firstLine="480"/>
        <w:rPr>
          <w:rFonts w:hint="default"/>
        </w:rPr>
      </w:pPr>
      <w:r>
        <w:t>采购人</w:t>
      </w:r>
      <w:r>
        <w:rPr>
          <w:lang w:eastAsia="zh-CN"/>
        </w:rPr>
        <w:t>或代理机构</w:t>
      </w:r>
      <w:r>
        <w:t>应当在决策确定后3个工作日内公示中标候选人，公示期不得少于1个工作日。公示应当包括以下内容:</w:t>
      </w:r>
    </w:p>
    <w:p w14:paraId="49DD1C18">
      <w:pPr>
        <w:pStyle w:val="25"/>
        <w:ind w:firstLine="400" w:firstLineChars="200"/>
        <w:rPr>
          <w:rFonts w:hint="default"/>
          <w:lang w:eastAsia="zh-CN"/>
        </w:rPr>
      </w:pPr>
      <w:r>
        <w:t>(1)投标供应商名称、报价</w:t>
      </w:r>
      <w:r>
        <w:rPr>
          <w:lang w:eastAsia="zh-CN"/>
        </w:rPr>
        <w:t>；</w:t>
      </w:r>
    </w:p>
    <w:p w14:paraId="57EFEC14">
      <w:pPr>
        <w:pStyle w:val="25"/>
        <w:ind w:firstLine="400" w:firstLineChars="200"/>
        <w:rPr>
          <w:rFonts w:hint="default"/>
          <w:lang w:eastAsia="zh-CN"/>
        </w:rPr>
      </w:pPr>
      <w:r>
        <w:t>(2)候选中标供应商名单</w:t>
      </w:r>
      <w:r>
        <w:rPr>
          <w:lang w:eastAsia="zh-CN"/>
        </w:rPr>
        <w:t>；</w:t>
      </w:r>
    </w:p>
    <w:p w14:paraId="44DEC233">
      <w:pPr>
        <w:pStyle w:val="25"/>
        <w:ind w:firstLine="400" w:firstLineChars="200"/>
        <w:rPr>
          <w:rFonts w:hint="default"/>
          <w:lang w:eastAsia="zh-CN"/>
        </w:rPr>
      </w:pPr>
      <w:r>
        <w:t>(3)确定的中标供应商名单</w:t>
      </w:r>
      <w:r>
        <w:rPr>
          <w:lang w:eastAsia="zh-CN"/>
        </w:rPr>
        <w:t>；</w:t>
      </w:r>
    </w:p>
    <w:p w14:paraId="361B7051">
      <w:pPr>
        <w:pStyle w:val="25"/>
        <w:ind w:firstLine="400" w:firstLineChars="200"/>
        <w:rPr>
          <w:rFonts w:hint="default"/>
        </w:rPr>
      </w:pPr>
      <w:r>
        <w:t>(4)法律、法规和规章规定的其他内容。</w:t>
      </w:r>
    </w:p>
    <w:p w14:paraId="1F27330E">
      <w:pPr>
        <w:pStyle w:val="25"/>
        <w:ind w:firstLine="480"/>
        <w:rPr>
          <w:rFonts w:hint="default"/>
        </w:rPr>
      </w:pPr>
      <w:r>
        <w:t>3.</w:t>
      </w:r>
      <w:r>
        <w:rPr>
          <w:lang w:eastAsia="zh-CN"/>
        </w:rPr>
        <w:t>5</w:t>
      </w:r>
      <w:r>
        <w:t>中标通知书：</w:t>
      </w:r>
    </w:p>
    <w:p w14:paraId="10BE658E">
      <w:pPr>
        <w:pStyle w:val="25"/>
        <w:ind w:firstLine="400" w:firstLineChars="200"/>
        <w:rPr>
          <w:rFonts w:hint="default"/>
        </w:rPr>
      </w:pPr>
      <w:r>
        <w:t xml:space="preserve"> 公示期满无异议或者异议不成立的，采购人确定中标候选人为中标人，发出中标通知书。中标候选人放弃中标、因不可抗力不能履行合同或者被查实存在影响中标结果的违法行为等情形，采购人可以按照中标候选人名单排序依次确定其他中标候选人为中标人，也可以重新招标。</w:t>
      </w:r>
    </w:p>
    <w:p w14:paraId="12A2C036">
      <w:pPr>
        <w:pStyle w:val="25"/>
        <w:ind w:firstLine="480"/>
        <w:rPr>
          <w:rFonts w:hint="default"/>
        </w:rPr>
      </w:pPr>
      <w:r>
        <w:t>3.</w:t>
      </w:r>
      <w:r>
        <w:rPr>
          <w:lang w:eastAsia="zh-CN"/>
        </w:rPr>
        <w:t>6</w:t>
      </w:r>
      <w:r>
        <w:t>终止公告：</w:t>
      </w:r>
    </w:p>
    <w:p w14:paraId="61ABF3D2">
      <w:pPr>
        <w:pStyle w:val="25"/>
        <w:ind w:firstLine="480"/>
        <w:rPr>
          <w:rFonts w:hint="default"/>
        </w:rPr>
      </w:pPr>
      <w:r>
        <w:t xml:space="preserve"> 项目废标后，采购人或采购代理机构将在</w:t>
      </w:r>
      <w:r>
        <w:rPr>
          <w:lang w:eastAsia="zh-CN"/>
        </w:rPr>
        <w:t>媒体</w:t>
      </w:r>
      <w:r>
        <w:t>上发布终止公告，终止公告的公告期限为1个工作日。</w:t>
      </w:r>
    </w:p>
    <w:p w14:paraId="55EF104F">
      <w:pPr>
        <w:pStyle w:val="25"/>
        <w:outlineLvl w:val="2"/>
        <w:rPr>
          <w:rFonts w:hint="default"/>
        </w:rPr>
      </w:pPr>
      <w:r>
        <w:rPr>
          <w:b/>
          <w:sz w:val="28"/>
        </w:rPr>
        <w:t>七、询问、质疑</w:t>
      </w:r>
    </w:p>
    <w:p w14:paraId="54C5276C">
      <w:pPr>
        <w:pStyle w:val="25"/>
        <w:outlineLvl w:val="3"/>
        <w:rPr>
          <w:rFonts w:hint="default"/>
        </w:rPr>
      </w:pPr>
      <w:r>
        <w:rPr>
          <w:b/>
          <w:sz w:val="24"/>
        </w:rPr>
        <w:t>1.询问</w:t>
      </w:r>
    </w:p>
    <w:p w14:paraId="32B6A55A">
      <w:pPr>
        <w:pStyle w:val="25"/>
        <w:ind w:firstLine="480"/>
        <w:rPr>
          <w:rFonts w:hint="default"/>
        </w:rPr>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7BBAA36D">
      <w:pPr>
        <w:pStyle w:val="25"/>
        <w:outlineLvl w:val="3"/>
        <w:rPr>
          <w:rFonts w:hint="default"/>
        </w:rPr>
      </w:pPr>
      <w:r>
        <w:rPr>
          <w:b/>
          <w:sz w:val="24"/>
        </w:rPr>
        <w:t>2.质疑</w:t>
      </w:r>
    </w:p>
    <w:p w14:paraId="1CCE9244">
      <w:pPr>
        <w:pStyle w:val="25"/>
        <w:ind w:firstLine="480"/>
        <w:rPr>
          <w:rFonts w:hint="default"/>
        </w:rPr>
      </w:pPr>
      <w:r>
        <w:t xml:space="preserve"> 2.1投标人或者其他利害关系人认为采购文件、评定标过程的评标定标结果使自己的权益受到损害的，应当在知道或者应知其权益受到损害之日起七个工作日内，以纸质书面形式向采购人、代理机构提出质疑。供应商应知其权益受到损害之日是指：</w:t>
      </w:r>
    </w:p>
    <w:p w14:paraId="67EAF306">
      <w:pPr>
        <w:pStyle w:val="25"/>
        <w:ind w:firstLine="480"/>
        <w:rPr>
          <w:rFonts w:hint="default"/>
        </w:rPr>
      </w:pPr>
      <w:r>
        <w:t>（</w:t>
      </w:r>
      <w:r>
        <w:rPr>
          <w:lang w:eastAsia="zh-CN"/>
        </w:rPr>
        <w:t>1</w:t>
      </w:r>
      <w:r>
        <w:t>）对采购文件提出质疑的，应当在获取采购文件或者招标公告期限届满之日起7个工作日内提出。</w:t>
      </w:r>
    </w:p>
    <w:p w14:paraId="14932DF2">
      <w:pPr>
        <w:pStyle w:val="25"/>
        <w:ind w:firstLine="480"/>
        <w:rPr>
          <w:rFonts w:hint="default"/>
        </w:rPr>
      </w:pPr>
      <w:r>
        <w:t>（</w:t>
      </w:r>
      <w:r>
        <w:rPr>
          <w:lang w:eastAsia="zh-CN"/>
        </w:rPr>
        <w:t>2</w:t>
      </w:r>
      <w:r>
        <w:t>）对评定标过程、评定标结果提出质疑的，应当在中标候选人公示期限届满之日起7个工作日内提出。</w:t>
      </w:r>
    </w:p>
    <w:p w14:paraId="3FDEF67D">
      <w:pPr>
        <w:pStyle w:val="25"/>
        <w:ind w:firstLine="480"/>
        <w:rPr>
          <w:rFonts w:hint="default"/>
        </w:rPr>
      </w:pPr>
      <w:r>
        <w:t>2.2质疑函应当包括下列主要内容：</w:t>
      </w:r>
    </w:p>
    <w:p w14:paraId="57BFC31F">
      <w:pPr>
        <w:pStyle w:val="25"/>
        <w:ind w:firstLine="480"/>
        <w:rPr>
          <w:rFonts w:hint="default"/>
        </w:rPr>
      </w:pPr>
      <w:r>
        <w:t>(1)质疑供应商和相关供应商的名称、地址、邮编、联系人及联系电话等；</w:t>
      </w:r>
    </w:p>
    <w:p w14:paraId="6744A8F2">
      <w:pPr>
        <w:pStyle w:val="25"/>
        <w:ind w:firstLine="480"/>
        <w:rPr>
          <w:rFonts w:hint="default"/>
        </w:rPr>
      </w:pPr>
      <w:r>
        <w:t>(2)质疑项目名称及编号、具体明确的质疑事项和与质疑事项相关的请求；</w:t>
      </w:r>
    </w:p>
    <w:p w14:paraId="34DC4B2E">
      <w:pPr>
        <w:pStyle w:val="25"/>
        <w:ind w:firstLine="480"/>
        <w:rPr>
          <w:rFonts w:hint="default"/>
        </w:rPr>
      </w:pPr>
      <w:r>
        <w:t>(3)认为采购文件、采购过程、中标和成交结果使自己的合法权益受到损害的法律依据、事实依据、相关证明材料及证据来源；</w:t>
      </w:r>
    </w:p>
    <w:p w14:paraId="3987FF79">
      <w:pPr>
        <w:pStyle w:val="25"/>
        <w:ind w:firstLine="480"/>
        <w:rPr>
          <w:rFonts w:hint="default"/>
        </w:rPr>
      </w:pPr>
      <w:r>
        <w:t>(4)提出质疑的日期。</w:t>
      </w:r>
    </w:p>
    <w:p w14:paraId="22AAE6B0">
      <w:pPr>
        <w:pStyle w:val="25"/>
        <w:ind w:firstLine="480"/>
        <w:rPr>
          <w:rFonts w:hint="default"/>
        </w:rPr>
      </w:pPr>
      <w:r>
        <w:t>2.3 质疑函应当署名。质疑供应商为自然人的，应当由本人签字；质疑供应商为法人或者其他组织的，应当由法定代表人、主要负责人，或者其授权代表签字或者盖章，并加盖公章。</w:t>
      </w:r>
    </w:p>
    <w:p w14:paraId="587A7C38">
      <w:pPr>
        <w:pStyle w:val="25"/>
        <w:ind w:firstLine="480"/>
        <w:rPr>
          <w:rFonts w:hint="default"/>
        </w:rPr>
      </w:pPr>
      <w:r>
        <w:t>2.4以联合体形式参加政府采购活动的，其质疑应当由联合体成员委托主体提出。</w:t>
      </w:r>
    </w:p>
    <w:p w14:paraId="0E8DDC3A">
      <w:pPr>
        <w:pStyle w:val="25"/>
        <w:ind w:firstLine="480"/>
        <w:rPr>
          <w:rFonts w:hint="default"/>
        </w:rPr>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64F5137E">
      <w:pPr>
        <w:pStyle w:val="25"/>
        <w:outlineLvl w:val="2"/>
        <w:rPr>
          <w:rFonts w:hint="default"/>
        </w:rPr>
      </w:pPr>
      <w:r>
        <w:rPr>
          <w:b/>
          <w:sz w:val="28"/>
        </w:rPr>
        <w:t>八、合同签订和履行</w:t>
      </w:r>
    </w:p>
    <w:p w14:paraId="141FDA8F">
      <w:pPr>
        <w:pStyle w:val="25"/>
        <w:outlineLvl w:val="3"/>
        <w:rPr>
          <w:rFonts w:hint="default"/>
        </w:rPr>
      </w:pPr>
      <w:r>
        <w:rPr>
          <w:b/>
          <w:sz w:val="24"/>
        </w:rPr>
        <w:t>1.合同签订</w:t>
      </w:r>
    </w:p>
    <w:p w14:paraId="476618C3">
      <w:pPr>
        <w:pStyle w:val="25"/>
        <w:ind w:firstLine="480"/>
        <w:rPr>
          <w:rFonts w:hint="default"/>
        </w:rPr>
      </w:pPr>
      <w:r>
        <w:t xml:space="preserve"> 1.1采购人应当自《中标通知书》发出之日起三十日内，按照招标文件和</w:t>
      </w:r>
      <w:r>
        <w:rPr>
          <w:lang w:eastAsia="zh-CN"/>
        </w:rPr>
        <w:t>中标人</w:t>
      </w:r>
      <w:r>
        <w:t>投标文件的约定，与</w:t>
      </w:r>
      <w:r>
        <w:rPr>
          <w:lang w:eastAsia="zh-CN"/>
        </w:rPr>
        <w:t>中标人</w:t>
      </w:r>
      <w:r>
        <w:t>签订合同。所签订的合同不得对招标文件和</w:t>
      </w:r>
      <w:r>
        <w:rPr>
          <w:lang w:eastAsia="zh-CN"/>
        </w:rPr>
        <w:t>中标人</w:t>
      </w:r>
      <w:r>
        <w:t>投标文件作实质性修改。</w:t>
      </w:r>
    </w:p>
    <w:p w14:paraId="631CB019">
      <w:pPr>
        <w:pStyle w:val="25"/>
        <w:ind w:firstLine="480"/>
        <w:rPr>
          <w:rFonts w:hint="default"/>
        </w:rPr>
      </w:pPr>
      <w:r>
        <w:t>1.2采购人不得提出试用合格等任何不合理的要求作为签订合同的条件，且不得与</w:t>
      </w:r>
      <w:r>
        <w:rPr>
          <w:lang w:eastAsia="zh-CN"/>
        </w:rPr>
        <w:t>中标人</w:t>
      </w:r>
      <w:r>
        <w:t>私下订立背离合同实质性内容的协议。</w:t>
      </w:r>
    </w:p>
    <w:p w14:paraId="6346FC54">
      <w:pPr>
        <w:pStyle w:val="25"/>
        <w:ind w:firstLine="480"/>
        <w:rPr>
          <w:rFonts w:hint="default"/>
        </w:rPr>
      </w:pPr>
      <w:r>
        <w:t>1.3合同条款中应规定，乙方完全遵守《中华人民共和国劳动合同法》有关规定和《中华人民共和国妇女权益保障法》中关于“劳动和社会保障权益”的有关要求。</w:t>
      </w:r>
    </w:p>
    <w:p w14:paraId="6F7CA13F">
      <w:pPr>
        <w:pStyle w:val="25"/>
        <w:outlineLvl w:val="3"/>
        <w:rPr>
          <w:rFonts w:hint="default"/>
        </w:rPr>
      </w:pPr>
      <w:r>
        <w:rPr>
          <w:b/>
          <w:sz w:val="24"/>
        </w:rPr>
        <w:t>2.合同的履行</w:t>
      </w:r>
    </w:p>
    <w:p w14:paraId="20DAE896">
      <w:pPr>
        <w:pStyle w:val="25"/>
        <w:ind w:firstLine="480"/>
        <w:rPr>
          <w:rFonts w:hint="default"/>
        </w:rPr>
      </w:pPr>
      <w:r>
        <w:t xml:space="preserve"> 2.1政府采购合同订立后，合同各方不得擅自变更、中止或者终止合同。</w:t>
      </w:r>
    </w:p>
    <w:p w14:paraId="46D497FB">
      <w:pPr>
        <w:pStyle w:val="25"/>
        <w:ind w:firstLine="480"/>
        <w:rPr>
          <w:rFonts w:hint="default"/>
        </w:rPr>
      </w:pPr>
      <w:r>
        <w:t xml:space="preserve"> 2.2政府采购合同履行中，采购人需追加与合同标的相同的货物、工程或者服务的，在不改变合同其他条款的前提下，可以与</w:t>
      </w:r>
      <w:r>
        <w:rPr>
          <w:lang w:eastAsia="zh-CN"/>
        </w:rPr>
        <w:t>中标人</w:t>
      </w:r>
      <w:r>
        <w:t>签订补充合同，但所补充合同的采购金额不得超过原采购金额的10%。</w:t>
      </w:r>
    </w:p>
    <w:p w14:paraId="4588399E">
      <w:pPr>
        <w:pStyle w:val="25"/>
        <w:rPr>
          <w:rFonts w:hint="default"/>
        </w:rPr>
      </w:pPr>
      <w:r>
        <w:t xml:space="preserve">  </w:t>
      </w:r>
    </w:p>
    <w:p w14:paraId="2ADA2CA3">
      <w:pPr>
        <w:rPr>
          <w:b/>
          <w:sz w:val="36"/>
        </w:rPr>
      </w:pPr>
      <w:r>
        <w:rPr>
          <w:b/>
          <w:sz w:val="36"/>
        </w:rPr>
        <w:br w:type="page"/>
      </w:r>
    </w:p>
    <w:p w14:paraId="08D0EB56">
      <w:pPr>
        <w:pStyle w:val="25"/>
        <w:jc w:val="center"/>
        <w:outlineLvl w:val="0"/>
        <w:rPr>
          <w:rFonts w:hint="default"/>
        </w:rPr>
      </w:pPr>
      <w:bookmarkStart w:id="8" w:name="_Toc4465"/>
      <w:r>
        <w:rPr>
          <w:b/>
          <w:sz w:val="36"/>
        </w:rPr>
        <w:t>第四章 评标</w:t>
      </w:r>
      <w:bookmarkEnd w:id="8"/>
    </w:p>
    <w:p w14:paraId="1CD7A565">
      <w:pPr>
        <w:pStyle w:val="25"/>
        <w:outlineLvl w:val="2"/>
        <w:rPr>
          <w:rFonts w:hint="default"/>
        </w:rPr>
      </w:pPr>
      <w:r>
        <w:rPr>
          <w:b/>
          <w:sz w:val="28"/>
        </w:rPr>
        <w:t>一、评标要求</w:t>
      </w:r>
    </w:p>
    <w:p w14:paraId="299A9DF9">
      <w:pPr>
        <w:pStyle w:val="25"/>
        <w:outlineLvl w:val="3"/>
        <w:rPr>
          <w:rFonts w:hint="default"/>
        </w:rPr>
      </w:pPr>
      <w:r>
        <w:rPr>
          <w:b/>
          <w:sz w:val="24"/>
        </w:rPr>
        <w:t>1.评标方法</w:t>
      </w:r>
    </w:p>
    <w:p w14:paraId="2DB0EE17">
      <w:pPr>
        <w:pStyle w:val="25"/>
        <w:ind w:firstLine="400" w:firstLineChars="200"/>
        <w:rPr>
          <w:rFonts w:hint="eastAsia"/>
          <w:lang w:eastAsia="zh-CN"/>
        </w:rPr>
      </w:pPr>
      <w:r>
        <w:rPr>
          <w:lang w:eastAsia="zh-CN"/>
        </w:rPr>
        <w:t>“定量评审”方式。采用“定量评审”方式推荐中标候选人的，</w:t>
      </w:r>
      <w:r>
        <w:rPr>
          <w:rFonts w:hint="eastAsia"/>
          <w:lang w:eastAsia="zh-CN"/>
        </w:rPr>
        <w:t>评标委员会根据最终评审的结果，推荐综合得分排名前3-前5的投标人为中标候选人，若有效参与评审的投标人数量&gt;6，则最终推选前5名中标候选人名单给采购人;若有效参与评审的投标人数量=5，则最终推选前4名中标候选人名单给采购人;若有效参与评审的投标人数量≤4，则最终推选前3名中标候选人名单给采购人。评标委员按照评审标准在评标报告中推荐排名前三-前五的投标人为中标候选人，并在评标报告上签字，对自己的评审意见承担法律责任。综合得分相同的，按投标报价由低到高顺序排列确定中标候选人。综合得分且投标报价相同的并列。</w:t>
      </w:r>
    </w:p>
    <w:p w14:paraId="7FD2B896">
      <w:pPr>
        <w:pStyle w:val="25"/>
        <w:ind w:firstLine="400" w:firstLineChars="200"/>
        <w:rPr>
          <w:rFonts w:hint="default"/>
          <w:lang w:eastAsia="zh-CN"/>
        </w:rPr>
      </w:pPr>
      <w:r>
        <w:rPr>
          <w:rFonts w:hint="default"/>
          <w:lang w:eastAsia="zh-CN"/>
        </w:rPr>
        <w:t>中标候选人并列的，招标人可委托评标委员会按下列顺序比较确定中标人:(1)技术评分(由高到低);(2)节能产品:(3)环保产品。如以上都相同的，名次由招标人采取随机抽取方式确定。</w:t>
      </w:r>
    </w:p>
    <w:p w14:paraId="4B776573">
      <w:pPr>
        <w:pStyle w:val="25"/>
        <w:outlineLvl w:val="3"/>
        <w:rPr>
          <w:rFonts w:hint="default"/>
        </w:rPr>
      </w:pPr>
      <w:r>
        <w:rPr>
          <w:b/>
          <w:sz w:val="24"/>
        </w:rPr>
        <w:t>2.评标原则</w:t>
      </w:r>
    </w:p>
    <w:p w14:paraId="45C045B7">
      <w:pPr>
        <w:pStyle w:val="25"/>
        <w:ind w:firstLine="480"/>
        <w:rPr>
          <w:rFonts w:hint="default"/>
        </w:rPr>
      </w:pPr>
      <w:r>
        <w:t>2.1评标活动遵循公平、公正、科学和择优的原则，以招标文件和投标文件为评标的基本依据，并按照招标文件规定的评标方法和评标标准进行评标。</w:t>
      </w:r>
    </w:p>
    <w:p w14:paraId="24690449">
      <w:pPr>
        <w:pStyle w:val="25"/>
        <w:ind w:firstLine="480"/>
        <w:rPr>
          <w:rFonts w:hint="default"/>
        </w:rPr>
      </w:pPr>
      <w:r>
        <w:t>2.2具体评标事项由评标委员会负责，并按招标文件的规定办法进行评审。</w:t>
      </w:r>
    </w:p>
    <w:p w14:paraId="56E6C3F0">
      <w:pPr>
        <w:pStyle w:val="25"/>
        <w:ind w:firstLine="480"/>
        <w:rPr>
          <w:rFonts w:hint="default"/>
        </w:rPr>
      </w:pPr>
      <w:r>
        <w:t>2.3合格投标人不足须知前附表中约定的有效供应商家数的，不得评标。</w:t>
      </w:r>
    </w:p>
    <w:p w14:paraId="2BF88C78">
      <w:pPr>
        <w:pStyle w:val="25"/>
        <w:outlineLvl w:val="3"/>
        <w:rPr>
          <w:rFonts w:hint="default"/>
        </w:rPr>
      </w:pPr>
      <w:r>
        <w:rPr>
          <w:b/>
          <w:sz w:val="24"/>
        </w:rPr>
        <w:t>3.评标委员会</w:t>
      </w:r>
    </w:p>
    <w:p w14:paraId="0A392BD2">
      <w:pPr>
        <w:pStyle w:val="25"/>
        <w:ind w:firstLine="480"/>
        <w:rPr>
          <w:rFonts w:hint="default"/>
        </w:rPr>
      </w:pPr>
      <w:r>
        <w:t>3.1评标委员会应当在投标截止日期前2个工作日内由采购人按相关规定组建，其中招标采购项目成员人数为5人或以上单数，技术、经济等方面的专家不得少于成员总数的三分之二。</w:t>
      </w:r>
    </w:p>
    <w:p w14:paraId="6504FEF8">
      <w:pPr>
        <w:pStyle w:val="25"/>
        <w:ind w:firstLine="480"/>
        <w:rPr>
          <w:rFonts w:hint="default"/>
        </w:rPr>
      </w:pPr>
      <w:r>
        <w:t>3.2评标应遵守下列评标纪律：</w:t>
      </w:r>
    </w:p>
    <w:p w14:paraId="53F910BC">
      <w:pPr>
        <w:pStyle w:val="25"/>
        <w:ind w:firstLine="480"/>
        <w:rPr>
          <w:rFonts w:hint="default"/>
        </w:rPr>
      </w:pPr>
      <w:r>
        <w:t>（1）评标情况不得私自外泄。</w:t>
      </w:r>
    </w:p>
    <w:p w14:paraId="121864F6">
      <w:pPr>
        <w:pStyle w:val="25"/>
        <w:ind w:firstLine="480"/>
        <w:rPr>
          <w:rFonts w:hint="default"/>
        </w:rPr>
      </w:pPr>
      <w:r>
        <w:t>（2）对</w:t>
      </w:r>
      <w:r>
        <w:rPr>
          <w:lang w:eastAsia="zh-CN"/>
        </w:rPr>
        <w:t>惠州市中弘咨询管理有限公司</w:t>
      </w:r>
      <w:r>
        <w:t>或投标人提供的要求保密的资料，不得摘记翻印和外传。</w:t>
      </w:r>
    </w:p>
    <w:p w14:paraId="7E574F70">
      <w:pPr>
        <w:pStyle w:val="25"/>
        <w:ind w:firstLine="480"/>
        <w:rPr>
          <w:rFonts w:hint="default"/>
        </w:rPr>
      </w:pPr>
      <w:r>
        <w:t>（3）不得收受投标供应商或有关人员的任何礼物，不得串联鼓动其他人袒护某投标人。若与投标人存在利害关系，则应主动声明并回避。</w:t>
      </w:r>
    </w:p>
    <w:p w14:paraId="2A5EBAB9">
      <w:pPr>
        <w:pStyle w:val="25"/>
        <w:ind w:firstLine="480"/>
        <w:rPr>
          <w:rFonts w:hint="default"/>
        </w:rPr>
      </w:pPr>
      <w:r>
        <w:t>（4）全体评委应按照招标文件规定进行评标，一切认定事项应查有实据且不得弄虚作假。</w:t>
      </w:r>
    </w:p>
    <w:p w14:paraId="7FAB2E87">
      <w:pPr>
        <w:pStyle w:val="25"/>
        <w:ind w:firstLine="480"/>
        <w:rPr>
          <w:rFonts w:hint="default"/>
        </w:rPr>
      </w:pPr>
      <w:r>
        <w:t>（5）评标委员会各成员应当独立对每个投标人的投标文件进行评价，并对评价意见承担个人责任。评审过程中，不得发表倾向性言论。</w:t>
      </w:r>
    </w:p>
    <w:p w14:paraId="6F9E029E">
      <w:pPr>
        <w:pStyle w:val="25"/>
        <w:ind w:firstLine="480"/>
        <w:rPr>
          <w:rFonts w:hint="default"/>
        </w:rPr>
      </w:pPr>
      <w:r>
        <w:t>※对违反评标纪律的评委，将取消其评委资格，对评标工作造成严重损失者将予以通报批评乃至追究法律责任。</w:t>
      </w:r>
    </w:p>
    <w:p w14:paraId="5D260A73">
      <w:pPr>
        <w:pStyle w:val="25"/>
        <w:outlineLvl w:val="3"/>
        <w:rPr>
          <w:rFonts w:hint="default"/>
        </w:rPr>
      </w:pPr>
      <w:r>
        <w:rPr>
          <w:b/>
          <w:sz w:val="24"/>
        </w:rPr>
        <w:t>4.有下列情形之一的，视为投标人串通投标，其投标无效；</w:t>
      </w:r>
    </w:p>
    <w:p w14:paraId="63E2666B">
      <w:pPr>
        <w:pStyle w:val="25"/>
        <w:ind w:firstLine="480"/>
        <w:rPr>
          <w:rFonts w:hint="default"/>
        </w:rPr>
      </w:pPr>
      <w:r>
        <w:t>4.1不同投标人的投标文件由同一单位或者个人编制；</w:t>
      </w:r>
    </w:p>
    <w:p w14:paraId="4DA63C90">
      <w:pPr>
        <w:pStyle w:val="25"/>
        <w:ind w:firstLine="480"/>
        <w:rPr>
          <w:rFonts w:hint="default"/>
        </w:rPr>
      </w:pPr>
      <w:r>
        <w:t>4.2不同投标人委托同一单位或者个人办理投标事宜；</w:t>
      </w:r>
    </w:p>
    <w:p w14:paraId="4D9ED9FE">
      <w:pPr>
        <w:pStyle w:val="25"/>
        <w:ind w:firstLine="480"/>
        <w:rPr>
          <w:rFonts w:hint="default"/>
        </w:rPr>
      </w:pPr>
      <w:r>
        <w:t>4.3不同投标人的投标文件载明的项目管理成员或者联系人员为同一人；</w:t>
      </w:r>
    </w:p>
    <w:p w14:paraId="688ACE3C">
      <w:pPr>
        <w:pStyle w:val="25"/>
        <w:ind w:firstLine="480"/>
        <w:rPr>
          <w:rFonts w:hint="default"/>
        </w:rPr>
      </w:pPr>
      <w:r>
        <w:t>4.4不同投标人的投标文件异常一致或者投标报价呈规律性差异；</w:t>
      </w:r>
    </w:p>
    <w:p w14:paraId="7F90F429">
      <w:pPr>
        <w:pStyle w:val="25"/>
        <w:ind w:firstLine="480"/>
        <w:rPr>
          <w:rFonts w:hint="default"/>
        </w:rPr>
      </w:pPr>
      <w:r>
        <w:t>4.5不同投标人的投标文件相互混装；</w:t>
      </w:r>
    </w:p>
    <w:p w14:paraId="54521AB4">
      <w:pPr>
        <w:pStyle w:val="25"/>
        <w:ind w:firstLine="480"/>
        <w:rPr>
          <w:rFonts w:hint="default"/>
        </w:rPr>
      </w:pPr>
      <w:r>
        <w:t>4.6不同投标人的投标保证金从同一单位或个人的账户转出；</w:t>
      </w:r>
    </w:p>
    <w:p w14:paraId="460BA0D8">
      <w:pPr>
        <w:pStyle w:val="25"/>
        <w:ind w:firstLine="480"/>
        <w:rPr>
          <w:rFonts w:hint="default"/>
        </w:rPr>
      </w:pPr>
      <w:r>
        <w:t>说明：在评标过程中发现投标人有上述情形的，评标委员会应当认定其投标无效。同时，项目评审时被认定为串通投标的投标人不得参加该合同项下的采购活动。</w:t>
      </w:r>
    </w:p>
    <w:p w14:paraId="21F97EF9">
      <w:pPr>
        <w:pStyle w:val="25"/>
        <w:outlineLvl w:val="3"/>
        <w:rPr>
          <w:rFonts w:hint="default"/>
        </w:rPr>
      </w:pPr>
      <w:r>
        <w:rPr>
          <w:b/>
          <w:sz w:val="24"/>
        </w:rPr>
        <w:t>5.投标无效的情形</w:t>
      </w:r>
    </w:p>
    <w:p w14:paraId="0B9B91EB">
      <w:pPr>
        <w:pStyle w:val="25"/>
        <w:ind w:firstLine="480"/>
        <w:rPr>
          <w:rFonts w:hint="default"/>
        </w:rPr>
      </w:pPr>
      <w:r>
        <w:t>详见资格性审查、符合性审查和招标文件其他投标无效条款。评审专家在评审过程中，判定投标供应商的投标文件为无效的，评审专家应当详细说明投标无效的原因，列举出投标文件存在的问题并署名。</w:t>
      </w:r>
    </w:p>
    <w:p w14:paraId="1E435F59">
      <w:pPr>
        <w:pStyle w:val="25"/>
        <w:outlineLvl w:val="3"/>
        <w:rPr>
          <w:rFonts w:hint="default"/>
        </w:rPr>
      </w:pPr>
      <w:r>
        <w:rPr>
          <w:b/>
          <w:sz w:val="24"/>
        </w:rPr>
        <w:t>6.定标</w:t>
      </w:r>
    </w:p>
    <w:p w14:paraId="2F9F90B6">
      <w:pPr>
        <w:pStyle w:val="25"/>
        <w:ind w:firstLine="480"/>
        <w:rPr>
          <w:rFonts w:hint="default"/>
          <w:lang w:eastAsia="zh-CN"/>
        </w:rPr>
      </w:pPr>
      <w:r>
        <w:rPr>
          <w:lang w:eastAsia="zh-CN"/>
        </w:rPr>
        <w:t>6.1定标方法：</w:t>
      </w:r>
      <w:r>
        <w:rPr>
          <w:rFonts w:hint="eastAsia"/>
          <w:lang w:eastAsia="zh-CN"/>
        </w:rPr>
        <w:t>采购人在收到评审报告后3周内综合考虑中标候选人的企业实力、企业信誉、响应文件情况报价、拟派团队管理能力与水平等多方面因素，通过相关会议决策后确定最终中标人。</w:t>
      </w:r>
    </w:p>
    <w:p w14:paraId="18927EB8">
      <w:pPr>
        <w:pStyle w:val="25"/>
        <w:ind w:firstLine="480"/>
        <w:rPr>
          <w:rFonts w:hint="default"/>
          <w:lang w:eastAsia="zh-CN"/>
        </w:rPr>
      </w:pPr>
      <w:r>
        <w:rPr>
          <w:lang w:eastAsia="zh-CN"/>
        </w:rPr>
        <w:t>6.2定标因素：本项目定标因素包括企业实力、企业信誉、投标文件响应情况、投标报价、拟派团队管理能力与水平等多方面因素，结合医院发展需求，择优选择履约能力较强、价格合理的供应商。</w:t>
      </w:r>
    </w:p>
    <w:p w14:paraId="0D5881D4">
      <w:pPr>
        <w:pStyle w:val="25"/>
        <w:ind w:firstLine="480"/>
        <w:rPr>
          <w:rFonts w:hint="default"/>
          <w:lang w:eastAsia="zh-CN"/>
        </w:rPr>
      </w:pPr>
      <w:r>
        <w:rPr>
          <w:lang w:eastAsia="zh-CN"/>
        </w:rPr>
        <w:t>6.3 定标时间：代理机构应当自评标评审结束之日起1个工作日内将候选中标供应商名单及其投标文件、评标报告送交采购人。采购人原则上在收到评标报告后3周内完成定标工作。</w:t>
      </w:r>
    </w:p>
    <w:p w14:paraId="67F33A6E">
      <w:pPr>
        <w:pStyle w:val="25"/>
        <w:outlineLvl w:val="3"/>
        <w:rPr>
          <w:rFonts w:hint="default"/>
        </w:rPr>
      </w:pPr>
      <w:r>
        <w:rPr>
          <w:b/>
          <w:sz w:val="24"/>
        </w:rPr>
        <w:t>7.价格修正</w:t>
      </w:r>
    </w:p>
    <w:p w14:paraId="7FA59939">
      <w:pPr>
        <w:pStyle w:val="25"/>
        <w:ind w:firstLine="480"/>
        <w:rPr>
          <w:rFonts w:hint="default"/>
        </w:rPr>
      </w:pPr>
      <w:r>
        <w:t>对报价的计算错误按以下原则修正：</w:t>
      </w:r>
    </w:p>
    <w:p w14:paraId="07ECF1F4">
      <w:pPr>
        <w:pStyle w:val="25"/>
        <w:ind w:firstLine="480"/>
        <w:rPr>
          <w:rFonts w:hint="default"/>
        </w:rPr>
      </w:pPr>
      <w:r>
        <w:t>（1）投标文件中开标一览表内容与投标文件中相应内容不一致的，以开标一览表为准；</w:t>
      </w:r>
    </w:p>
    <w:p w14:paraId="48F5F774">
      <w:pPr>
        <w:pStyle w:val="25"/>
        <w:ind w:firstLine="480"/>
        <w:rPr>
          <w:rFonts w:hint="default"/>
        </w:rPr>
      </w:pPr>
      <w:r>
        <w:t>（2）大写金额和小写金额不一致的，以大写金额为准；</w:t>
      </w:r>
    </w:p>
    <w:p w14:paraId="672FB671">
      <w:pPr>
        <w:pStyle w:val="25"/>
        <w:ind w:firstLine="480"/>
        <w:rPr>
          <w:rFonts w:hint="default"/>
        </w:rPr>
      </w:pPr>
      <w:r>
        <w:t>（3）单价金额小数点或者百分比有明显错位的，以开标一览表的总价为准，并修改单价。</w:t>
      </w:r>
    </w:p>
    <w:p w14:paraId="2087F297">
      <w:pPr>
        <w:pStyle w:val="25"/>
        <w:ind w:firstLine="480"/>
        <w:rPr>
          <w:rFonts w:hint="default"/>
        </w:rPr>
      </w:pPr>
      <w:r>
        <w:t>（4）总价金额与按单价汇总金额不一致的，以单价金额计算结果为准。但是单价金额计算结果超过预算价的，对其按无效投标处理。</w:t>
      </w:r>
    </w:p>
    <w:p w14:paraId="408DBDC2">
      <w:pPr>
        <w:pStyle w:val="25"/>
        <w:ind w:firstLine="480"/>
        <w:rPr>
          <w:rFonts w:hint="default"/>
        </w:rPr>
      </w:pPr>
      <w:r>
        <w:t xml:space="preserve"> 注：同时出现两种以上不一致的，按照前款规定的顺序进行价格澄清。澄清后的价格</w:t>
      </w:r>
      <w:r>
        <w:rPr>
          <w:lang w:eastAsia="zh-CN"/>
        </w:rPr>
        <w:t>经投标人</w:t>
      </w:r>
      <w:r>
        <w:t>确认后产生约束力，但不得超出投标文件的范围或者改变投标文件的实质性内容，投标人不确认的，其投标无效。</w:t>
      </w:r>
    </w:p>
    <w:p w14:paraId="5C6A425B">
      <w:pPr>
        <w:pStyle w:val="25"/>
        <w:outlineLvl w:val="2"/>
        <w:rPr>
          <w:rFonts w:hint="default"/>
        </w:rPr>
      </w:pPr>
      <w:r>
        <w:rPr>
          <w:b/>
          <w:sz w:val="28"/>
        </w:rPr>
        <w:t>二.政府采购政策落实</w:t>
      </w:r>
    </w:p>
    <w:p w14:paraId="295ADEB5">
      <w:pPr>
        <w:pStyle w:val="25"/>
        <w:outlineLvl w:val="3"/>
        <w:rPr>
          <w:rFonts w:hint="default"/>
        </w:rPr>
      </w:pPr>
      <w:r>
        <w:rPr>
          <w:b/>
          <w:sz w:val="24"/>
        </w:rPr>
        <w:t>1.节能、环保要求</w:t>
      </w:r>
    </w:p>
    <w:p w14:paraId="2D57F705">
      <w:pPr>
        <w:pStyle w:val="25"/>
        <w:ind w:firstLine="480"/>
        <w:rPr>
          <w:rFonts w:hint="default"/>
        </w:rPr>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5FF8B1A6">
      <w:pPr>
        <w:pStyle w:val="25"/>
        <w:ind w:firstLine="480"/>
        <w:rPr>
          <w:rFonts w:hint="default"/>
        </w:rPr>
      </w:pPr>
      <w:r>
        <w:t>相关认证机构和获证产品信息以市场监管总局组织建立的节能产品、环境标志产品认证结果信息发布平台公布为准。</w:t>
      </w:r>
    </w:p>
    <w:p w14:paraId="1FC13C0F">
      <w:pPr>
        <w:pStyle w:val="25"/>
        <w:outlineLvl w:val="3"/>
        <w:rPr>
          <w:rFonts w:hint="default"/>
        </w:rPr>
      </w:pPr>
      <w:r>
        <w:rPr>
          <w:b/>
          <w:sz w:val="24"/>
        </w:rPr>
        <w:t>2.对符合本国产品标准的产品给予价格扣除</w:t>
      </w:r>
    </w:p>
    <w:p w14:paraId="0399CC47">
      <w:pPr>
        <w:pStyle w:val="25"/>
        <w:ind w:firstLine="480"/>
        <w:rPr>
          <w:rFonts w:hint="default"/>
        </w:rPr>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69208E9D">
      <w:pPr>
        <w:pStyle w:val="25"/>
        <w:spacing w:before="120" w:after="120"/>
        <w:ind w:firstLine="480"/>
        <w:rPr>
          <w:rFonts w:hint="default"/>
        </w:rPr>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CECF8A2">
      <w:pPr>
        <w:pStyle w:val="25"/>
        <w:spacing w:before="120" w:after="120"/>
        <w:ind w:firstLine="480"/>
        <w:rPr>
          <w:rFonts w:hint="default"/>
        </w:rPr>
      </w:pPr>
      <w:r>
        <w:t>（2）</w:t>
      </w:r>
      <w:r>
        <w:rPr>
          <w:b/>
        </w:rPr>
        <w:t>准确界定产品在中国境内生产</w:t>
      </w:r>
      <w: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BF41F63">
      <w:pPr>
        <w:pStyle w:val="25"/>
        <w:spacing w:before="120" w:after="120"/>
        <w:ind w:firstLine="480"/>
        <w:rPr>
          <w:rFonts w:hint="default"/>
        </w:rPr>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14:paraId="40B1BFF3">
      <w:pPr>
        <w:pStyle w:val="25"/>
        <w:spacing w:before="120" w:after="120"/>
        <w:ind w:firstLine="480"/>
        <w:rPr>
          <w:rFonts w:hint="default"/>
        </w:rPr>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BC94A6F">
      <w:pPr>
        <w:pStyle w:val="25"/>
        <w:spacing w:before="120" w:after="120"/>
        <w:ind w:firstLine="480"/>
        <w:rPr>
          <w:rFonts w:hint="default"/>
        </w:rPr>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13F2D8CB">
      <w:pPr>
        <w:pStyle w:val="25"/>
        <w:outlineLvl w:val="3"/>
        <w:rPr>
          <w:rFonts w:hint="default"/>
        </w:rPr>
      </w:pPr>
      <w:r>
        <w:rPr>
          <w:b/>
          <w:sz w:val="24"/>
        </w:rPr>
        <w:t>3.对小型、微型企业、监狱企业或残疾人福利性单位给予价格扣除</w:t>
      </w:r>
    </w:p>
    <w:p w14:paraId="7E4342FF">
      <w:pPr>
        <w:pStyle w:val="25"/>
        <w:ind w:firstLine="480"/>
        <w:rPr>
          <w:rFonts w:hint="default"/>
        </w:rPr>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0EFFE204">
      <w:pPr>
        <w:pStyle w:val="25"/>
        <w:outlineLvl w:val="3"/>
        <w:rPr>
          <w:rFonts w:hint="default"/>
        </w:rPr>
      </w:pPr>
      <w:r>
        <w:rPr>
          <w:b/>
          <w:sz w:val="24"/>
        </w:rPr>
        <w:t>4.价格扣除相关要求</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1310"/>
        <w:gridCol w:w="1230"/>
        <w:gridCol w:w="1240"/>
        <w:gridCol w:w="3946"/>
      </w:tblGrid>
      <w:tr w14:paraId="226FF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81" w:type="dxa"/>
            <w:vAlign w:val="center"/>
          </w:tcPr>
          <w:p w14:paraId="6A3B29A0">
            <w:pPr>
              <w:pStyle w:val="25"/>
              <w:jc w:val="center"/>
              <w:rPr>
                <w:rFonts w:hint="default"/>
                <w:b/>
                <w:bCs/>
              </w:rPr>
            </w:pPr>
            <w:r>
              <w:rPr>
                <w:b/>
                <w:bCs/>
              </w:rPr>
              <w:t>序号</w:t>
            </w:r>
          </w:p>
        </w:tc>
        <w:tc>
          <w:tcPr>
            <w:tcW w:w="1310" w:type="dxa"/>
            <w:vAlign w:val="center"/>
          </w:tcPr>
          <w:p w14:paraId="6224E1A8">
            <w:pPr>
              <w:pStyle w:val="25"/>
              <w:jc w:val="center"/>
              <w:rPr>
                <w:rFonts w:hint="default"/>
                <w:b/>
                <w:bCs/>
              </w:rPr>
            </w:pPr>
            <w:r>
              <w:rPr>
                <w:b/>
                <w:bCs/>
              </w:rPr>
              <w:t>情形</w:t>
            </w:r>
          </w:p>
        </w:tc>
        <w:tc>
          <w:tcPr>
            <w:tcW w:w="1230" w:type="dxa"/>
            <w:vAlign w:val="center"/>
          </w:tcPr>
          <w:p w14:paraId="16C4CDE0">
            <w:pPr>
              <w:pStyle w:val="25"/>
              <w:jc w:val="center"/>
              <w:rPr>
                <w:rFonts w:hint="default"/>
                <w:b/>
                <w:bCs/>
              </w:rPr>
            </w:pPr>
            <w:r>
              <w:rPr>
                <w:b/>
                <w:bCs/>
              </w:rPr>
              <w:t>适用对象</w:t>
            </w:r>
          </w:p>
        </w:tc>
        <w:tc>
          <w:tcPr>
            <w:tcW w:w="1240" w:type="dxa"/>
            <w:vAlign w:val="center"/>
          </w:tcPr>
          <w:p w14:paraId="4147EE9D">
            <w:pPr>
              <w:pStyle w:val="25"/>
              <w:jc w:val="center"/>
              <w:rPr>
                <w:rFonts w:hint="default"/>
                <w:b/>
                <w:bCs/>
              </w:rPr>
            </w:pPr>
            <w:r>
              <w:rPr>
                <w:b/>
                <w:bCs/>
              </w:rPr>
              <w:t>价格扣除比例</w:t>
            </w:r>
          </w:p>
        </w:tc>
        <w:tc>
          <w:tcPr>
            <w:tcW w:w="3946" w:type="dxa"/>
            <w:vAlign w:val="center"/>
          </w:tcPr>
          <w:p w14:paraId="795FAEB7">
            <w:pPr>
              <w:pStyle w:val="25"/>
              <w:jc w:val="center"/>
              <w:rPr>
                <w:rFonts w:hint="default"/>
                <w:b/>
                <w:bCs/>
              </w:rPr>
            </w:pPr>
            <w:r>
              <w:rPr>
                <w:b/>
                <w:bCs/>
              </w:rPr>
              <w:t>计算公式</w:t>
            </w:r>
          </w:p>
        </w:tc>
      </w:tr>
      <w:tr w14:paraId="6687C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81" w:type="dxa"/>
          </w:tcPr>
          <w:p w14:paraId="6576CF17">
            <w:pPr>
              <w:pStyle w:val="25"/>
              <w:rPr>
                <w:rFonts w:hint="default"/>
                <w:b/>
                <w:bCs/>
              </w:rPr>
            </w:pPr>
            <w:r>
              <w:t>1</w:t>
            </w:r>
          </w:p>
        </w:tc>
        <w:tc>
          <w:tcPr>
            <w:tcW w:w="1310" w:type="dxa"/>
          </w:tcPr>
          <w:p w14:paraId="32B059BC">
            <w:pPr>
              <w:pStyle w:val="25"/>
              <w:rPr>
                <w:rFonts w:hint="default"/>
                <w:b/>
                <w:bCs/>
              </w:rPr>
            </w:pPr>
            <w:r>
              <w:t>小型、微型企业，监狱企业，残疾人福利性单位</w:t>
            </w:r>
          </w:p>
        </w:tc>
        <w:tc>
          <w:tcPr>
            <w:tcW w:w="1230" w:type="dxa"/>
          </w:tcPr>
          <w:p w14:paraId="06A63447">
            <w:pPr>
              <w:pStyle w:val="25"/>
              <w:rPr>
                <w:rFonts w:hint="default"/>
                <w:b/>
                <w:bCs/>
              </w:rPr>
            </w:pPr>
            <w:r>
              <w:t>货物由小微企业制造</w:t>
            </w:r>
          </w:p>
        </w:tc>
        <w:tc>
          <w:tcPr>
            <w:tcW w:w="1240" w:type="dxa"/>
          </w:tcPr>
          <w:p w14:paraId="78473A86">
            <w:pPr>
              <w:pStyle w:val="25"/>
              <w:rPr>
                <w:rFonts w:hint="default"/>
                <w:b/>
                <w:bCs/>
              </w:rPr>
            </w:pPr>
            <w:r>
              <w:t>10%</w:t>
            </w:r>
          </w:p>
        </w:tc>
        <w:tc>
          <w:tcPr>
            <w:tcW w:w="3946" w:type="dxa"/>
          </w:tcPr>
          <w:p w14:paraId="1153DB1C">
            <w:pPr>
              <w:pStyle w:val="25"/>
              <w:rPr>
                <w:rFonts w:hint="default"/>
                <w:b/>
                <w:bCs/>
              </w:rPr>
            </w:pPr>
            <w: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43574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81" w:type="dxa"/>
          </w:tcPr>
          <w:p w14:paraId="7DD4A6BC">
            <w:pPr>
              <w:pStyle w:val="25"/>
              <w:rPr>
                <w:rFonts w:hint="default"/>
                <w:b/>
                <w:bCs/>
              </w:rPr>
            </w:pPr>
            <w:r>
              <w:t>2</w:t>
            </w:r>
          </w:p>
        </w:tc>
        <w:tc>
          <w:tcPr>
            <w:tcW w:w="1310" w:type="dxa"/>
          </w:tcPr>
          <w:p w14:paraId="3A3ED468">
            <w:pPr>
              <w:pStyle w:val="25"/>
              <w:rPr>
                <w:rFonts w:hint="default"/>
                <w:b/>
                <w:bCs/>
              </w:rPr>
            </w:pPr>
            <w:r>
              <w:t>节能、环保产品</w:t>
            </w:r>
          </w:p>
        </w:tc>
        <w:tc>
          <w:tcPr>
            <w:tcW w:w="1230" w:type="dxa"/>
          </w:tcPr>
          <w:p w14:paraId="440FFACC">
            <w:pPr>
              <w:pStyle w:val="25"/>
              <w:rPr>
                <w:rFonts w:hint="default"/>
                <w:b/>
                <w:bCs/>
              </w:rPr>
            </w:pPr>
            <w:r>
              <w:t xml:space="preserve"> ——</w:t>
            </w:r>
          </w:p>
        </w:tc>
        <w:tc>
          <w:tcPr>
            <w:tcW w:w="1240" w:type="dxa"/>
          </w:tcPr>
          <w:p w14:paraId="2FEB68B6">
            <w:pPr>
              <w:pStyle w:val="25"/>
              <w:rPr>
                <w:rFonts w:hint="default"/>
                <w:b/>
                <w:bCs/>
              </w:rPr>
            </w:pPr>
            <w:r>
              <w:t>3%</w:t>
            </w:r>
          </w:p>
        </w:tc>
        <w:tc>
          <w:tcPr>
            <w:tcW w:w="3946" w:type="dxa"/>
          </w:tcPr>
          <w:p w14:paraId="6AB18767">
            <w:pPr>
              <w:pStyle w:val="25"/>
              <w:rPr>
                <w:rFonts w:hint="default"/>
                <w:b/>
                <w:bCs/>
              </w:rPr>
            </w:pPr>
            <w:r>
              <w:t>对获得节能产品认证证书或环境标志产品认证证书的产品给予1%-5%的价格扣除，具体扣除比例根据节能产品或环境标志产品在采购项目中的重要性、所占比重等因素确定。</w:t>
            </w:r>
          </w:p>
        </w:tc>
      </w:tr>
      <w:tr w14:paraId="629E2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7" w:type="dxa"/>
            <w:gridSpan w:val="5"/>
            <w:vAlign w:val="center"/>
          </w:tcPr>
          <w:p w14:paraId="63D6C37F">
            <w:pPr>
              <w:pStyle w:val="25"/>
              <w:rPr>
                <w:rFonts w:hint="default"/>
              </w:rPr>
            </w:pPr>
            <w:r>
              <w:t>注：（1）上述评标价仅用于计算价格分，成交金额以实际投标价为准。 （2）组成联合体的大中型企业和其他自然人、法人或者其他组织、与小型、微型企业之间不得存在投资关系。</w:t>
            </w:r>
          </w:p>
        </w:tc>
      </w:tr>
    </w:tbl>
    <w:p w14:paraId="66EEC935">
      <w:pPr>
        <w:pStyle w:val="25"/>
        <w:rPr>
          <w:rFonts w:hint="default"/>
        </w:rPr>
      </w:pPr>
    </w:p>
    <w:p w14:paraId="52CF2B2B">
      <w:pPr>
        <w:pStyle w:val="25"/>
        <w:ind w:firstLine="480"/>
        <w:rPr>
          <w:rFonts w:hint="default"/>
        </w:rPr>
      </w:pPr>
      <w:r>
        <w:t>（1）所称小型和微型企业应当符合以下条件：</w:t>
      </w:r>
    </w:p>
    <w:p w14:paraId="20FCDE51">
      <w:pPr>
        <w:pStyle w:val="25"/>
        <w:ind w:firstLine="480"/>
        <w:rPr>
          <w:rFonts w:hint="default"/>
        </w:rPr>
      </w:pPr>
      <w:r>
        <w:t>在中华人民共和国境内依法设立，依据国务院批准的中小企业划分标准确定的小型企业和微型企业，但与大企业的负责人为同一人，或者与大企业存在直接控股、管理关系的除外。</w:t>
      </w:r>
    </w:p>
    <w:p w14:paraId="019018D1">
      <w:pPr>
        <w:pStyle w:val="25"/>
        <w:ind w:firstLine="480"/>
        <w:rPr>
          <w:rFonts w:hint="default"/>
        </w:rPr>
      </w:pPr>
      <w:r>
        <w:t>符合中小企业划分标准的个体工商户，在政府采购活动中视同中小企业。</w:t>
      </w:r>
    </w:p>
    <w:p w14:paraId="702A1B71">
      <w:pPr>
        <w:pStyle w:val="25"/>
        <w:ind w:firstLine="480"/>
        <w:rPr>
          <w:rFonts w:hint="default"/>
        </w:rPr>
      </w:pPr>
      <w:r>
        <w:t>提供本企业（属于小微企业）制造的货物或者提供其他小型或微型企业制造的货物/提供本企业（属于小微企业）承接的服务。</w:t>
      </w:r>
    </w:p>
    <w:p w14:paraId="39F29283">
      <w:pPr>
        <w:pStyle w:val="25"/>
        <w:ind w:firstLine="480"/>
        <w:rPr>
          <w:rFonts w:hint="default"/>
        </w:rPr>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14179D6E">
      <w:pPr>
        <w:pStyle w:val="25"/>
        <w:ind w:firstLine="480"/>
        <w:rPr>
          <w:rFonts w:hint="default"/>
        </w:rPr>
      </w:pPr>
      <w:r>
        <w:t>说明：投标人应当对其出具的《中小企业声明函》真实性负责，投标人出具的《中小企业声明函》内容不实的，属于提供虚假材料谋取中标。</w:t>
      </w:r>
    </w:p>
    <w:p w14:paraId="4401C79E">
      <w:pPr>
        <w:pStyle w:val="25"/>
        <w:ind w:firstLine="480"/>
        <w:rPr>
          <w:rFonts w:hint="default"/>
        </w:rPr>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66153573">
      <w:pPr>
        <w:pStyle w:val="25"/>
        <w:outlineLvl w:val="2"/>
        <w:rPr>
          <w:rFonts w:hint="default"/>
        </w:rPr>
      </w:pPr>
      <w:r>
        <w:rPr>
          <w:b/>
        </w:rPr>
        <w:t>三、评审程序</w:t>
      </w:r>
    </w:p>
    <w:p w14:paraId="111D6009">
      <w:pPr>
        <w:pStyle w:val="25"/>
        <w:outlineLvl w:val="3"/>
        <w:rPr>
          <w:rFonts w:hint="default"/>
        </w:rPr>
      </w:pPr>
      <w:r>
        <w:rPr>
          <w:b/>
        </w:rPr>
        <w:t>1.资格性审查和符合性审查</w:t>
      </w:r>
    </w:p>
    <w:p w14:paraId="5A317FEA">
      <w:pPr>
        <w:pStyle w:val="25"/>
        <w:ind w:firstLine="480"/>
        <w:rPr>
          <w:rFonts w:hint="default"/>
        </w:rPr>
      </w:pPr>
      <w:r>
        <w:t>资格性审查。公开招标采购项目开标结束后，采购人或采购代理机构应当依法对投标人的资格进行审查，以确定投标人是否具备投标资格。（详见后附表一资格性审查表）</w:t>
      </w:r>
    </w:p>
    <w:p w14:paraId="5C3B14BC">
      <w:pPr>
        <w:pStyle w:val="25"/>
        <w:ind w:firstLine="480"/>
        <w:rPr>
          <w:rFonts w:hint="default"/>
        </w:rPr>
      </w:pPr>
      <w:r>
        <w:t>符合性审查。评标委员会依据招标文件的规定，从投标文件的有效性、完整性和对招标文件的响应程度进行审查，以确定是否对招标文件的实质性要求作出响应。（详见后附表二符合性审查表）</w:t>
      </w:r>
    </w:p>
    <w:p w14:paraId="0CC4CD44">
      <w:pPr>
        <w:pStyle w:val="25"/>
        <w:ind w:firstLine="480"/>
        <w:rPr>
          <w:rFonts w:hint="default"/>
        </w:rPr>
      </w:pPr>
      <w:r>
        <w:t>资格性审查和符合性审查中凡有其中任意一项未通过的，评审结果为未通过，未通过资格性审查、符合性审查的投标人按无效投标处理。</w:t>
      </w:r>
    </w:p>
    <w:p w14:paraId="424F2B30">
      <w:pPr>
        <w:pStyle w:val="25"/>
        <w:ind w:firstLine="480"/>
        <w:rPr>
          <w:rFonts w:hint="default"/>
        </w:rPr>
      </w:pPr>
      <w:r>
        <w:t>对各投标人进行资格审查和符合性审查过程中，对初步被认定为无效投标者，由评标委员会组长或采购人代表将集体意见及时告知投标当事人。</w:t>
      </w:r>
    </w:p>
    <w:p w14:paraId="192547A6">
      <w:pPr>
        <w:pStyle w:val="25"/>
        <w:ind w:firstLine="480"/>
        <w:rPr>
          <w:rFonts w:hint="default"/>
        </w:rPr>
      </w:pPr>
      <w: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B8952A9">
      <w:pPr>
        <w:pStyle w:val="25"/>
        <w:ind w:firstLine="480"/>
        <w:rPr>
          <w:rFonts w:hint="default"/>
        </w:rPr>
      </w:pPr>
      <w:r>
        <w:t>根据《关于推动解决政府采购异常低价问题的通知》（ 财库〔2026〕2号）的规定，政府采购评审中出现下列情形之一的，评审委员会应当启动异常低价投标（响应）审查程序：</w:t>
      </w:r>
    </w:p>
    <w:p w14:paraId="3EC02866">
      <w:pPr>
        <w:pStyle w:val="25"/>
        <w:ind w:firstLine="480"/>
        <w:rPr>
          <w:rFonts w:hint="default"/>
        </w:rPr>
      </w:pPr>
      <w:r>
        <w:t xml:space="preserve"> ①投标（响应）报价低于全部通过符合性审查供应商投标（响应）报价平均值50%的，即投标（响应）报价&lt;全部通过符合性审查供应商投标（响应）报价平均值×50%； </w:t>
      </w:r>
    </w:p>
    <w:p w14:paraId="2AA3DFA7">
      <w:pPr>
        <w:pStyle w:val="25"/>
        <w:ind w:firstLine="480"/>
        <w:rPr>
          <w:rFonts w:hint="default"/>
        </w:rPr>
      </w:pPr>
      <w:r>
        <w:t xml:space="preserve">②投标（响应）报价低于通过符合性审查的次低报价供应商投标（响应）报价50%的，即投标（响应）报价&lt;通过符合性审查的次低报价供应商投标（响应）报价×50%； </w:t>
      </w:r>
    </w:p>
    <w:p w14:paraId="176C1C01">
      <w:pPr>
        <w:pStyle w:val="25"/>
        <w:ind w:firstLine="480"/>
        <w:rPr>
          <w:rFonts w:hint="default"/>
        </w:rPr>
      </w:pPr>
      <w:r>
        <w:t xml:space="preserve">③投标（响应）报价低于采购项目最高限价45%的，即投标（响应）报价&lt;采购项目最高限价×45%； </w:t>
      </w:r>
    </w:p>
    <w:p w14:paraId="559CFBB2">
      <w:pPr>
        <w:pStyle w:val="25"/>
        <w:ind w:firstLine="480"/>
        <w:rPr>
          <w:rFonts w:hint="default"/>
        </w:rPr>
      </w:pPr>
      <w:r>
        <w:t xml:space="preserve">④评审委员会基于专业判断，认为供应商报价过低，有可能影响产品质量或者不能诚信履约的其他情形。 </w:t>
      </w:r>
    </w:p>
    <w:p w14:paraId="6DC31152">
      <w:pPr>
        <w:pStyle w:val="25"/>
        <w:ind w:firstLine="480"/>
        <w:rPr>
          <w:rFonts w:hint="default"/>
          <w:color w:val="0000FF"/>
        </w:rPr>
      </w:pPr>
      <w: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p w14:paraId="649EAA12">
      <w:pPr>
        <w:pStyle w:val="25"/>
        <w:ind w:firstLine="480"/>
        <w:rPr>
          <w:rFonts w:hint="default"/>
        </w:rPr>
      </w:pPr>
      <w:r>
        <w:t>合格投标人不足3家的，不得评标。</w:t>
      </w:r>
    </w:p>
    <w:p w14:paraId="41D9199E">
      <w:pPr>
        <w:pStyle w:val="25"/>
        <w:ind w:firstLine="480"/>
        <w:rPr>
          <w:rFonts w:hint="default"/>
        </w:rPr>
      </w:pPr>
      <w:r>
        <w:t>表一资格性审查表：</w:t>
      </w:r>
    </w:p>
    <w:tbl>
      <w:tblPr>
        <w:tblStyle w:val="20"/>
        <w:tblW w:w="83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1541"/>
        <w:gridCol w:w="5875"/>
      </w:tblGrid>
      <w:tr w14:paraId="4FC3E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59C2CF42">
            <w:pPr>
              <w:jc w:val="center"/>
              <w:rPr>
                <w:rFonts w:ascii="宋体" w:hAnsi="宋体" w:cs="宋体"/>
                <w:sz w:val="20"/>
                <w:szCs w:val="20"/>
              </w:rPr>
            </w:pPr>
            <w:r>
              <w:rPr>
                <w:rFonts w:hint="eastAsia" w:ascii="宋体" w:hAnsi="宋体" w:cs="宋体"/>
                <w:sz w:val="20"/>
                <w:szCs w:val="20"/>
              </w:rPr>
              <w:t>序号</w:t>
            </w:r>
          </w:p>
        </w:tc>
        <w:tc>
          <w:tcPr>
            <w:tcW w:w="7416" w:type="dxa"/>
            <w:gridSpan w:val="2"/>
            <w:vAlign w:val="center"/>
          </w:tcPr>
          <w:p w14:paraId="54140FD1">
            <w:pPr>
              <w:jc w:val="center"/>
              <w:rPr>
                <w:rFonts w:ascii="宋体" w:hAnsi="宋体" w:cs="宋体"/>
                <w:sz w:val="20"/>
                <w:szCs w:val="20"/>
              </w:rPr>
            </w:pPr>
            <w:r>
              <w:rPr>
                <w:rFonts w:hint="eastAsia" w:ascii="宋体" w:hAnsi="宋体" w:cs="宋体"/>
                <w:sz w:val="20"/>
                <w:szCs w:val="20"/>
              </w:rPr>
              <w:t>资格审查内容</w:t>
            </w:r>
          </w:p>
        </w:tc>
      </w:tr>
      <w:tr w14:paraId="4630D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7E5FCA8D">
            <w:pPr>
              <w:jc w:val="center"/>
              <w:rPr>
                <w:rFonts w:ascii="宋体" w:hAnsi="宋体" w:cs="宋体"/>
                <w:sz w:val="20"/>
                <w:szCs w:val="20"/>
              </w:rPr>
            </w:pPr>
            <w:r>
              <w:rPr>
                <w:rFonts w:hint="eastAsia" w:ascii="宋体" w:hAnsi="宋体" w:cs="宋体"/>
                <w:sz w:val="20"/>
                <w:szCs w:val="20"/>
              </w:rPr>
              <w:t>1</w:t>
            </w:r>
          </w:p>
        </w:tc>
        <w:tc>
          <w:tcPr>
            <w:tcW w:w="1541" w:type="dxa"/>
            <w:vAlign w:val="center"/>
          </w:tcPr>
          <w:p w14:paraId="57752A5E">
            <w:pPr>
              <w:rPr>
                <w:rFonts w:ascii="宋体" w:hAnsi="宋体" w:cs="宋体"/>
                <w:sz w:val="20"/>
                <w:szCs w:val="20"/>
              </w:rPr>
            </w:pPr>
            <w:r>
              <w:rPr>
                <w:rFonts w:hint="eastAsia" w:ascii="宋体" w:hAnsi="宋体" w:cs="宋体"/>
                <w:sz w:val="20"/>
                <w:szCs w:val="20"/>
              </w:rPr>
              <w:t>具有独立承担民事责任的能力</w:t>
            </w:r>
          </w:p>
        </w:tc>
        <w:tc>
          <w:tcPr>
            <w:tcW w:w="5875" w:type="dxa"/>
            <w:vAlign w:val="center"/>
          </w:tcPr>
          <w:p w14:paraId="1E7AC72E">
            <w:pPr>
              <w:rPr>
                <w:rFonts w:ascii="宋体" w:hAnsi="宋体" w:cs="宋体"/>
                <w:sz w:val="20"/>
                <w:szCs w:val="20"/>
              </w:rPr>
            </w:pPr>
            <w:r>
              <w:rPr>
                <w:rFonts w:hint="eastAsia" w:ascii="宋体" w:hAnsi="宋体" w:cs="宋体"/>
                <w:sz w:val="20"/>
                <w:szCs w:val="20"/>
              </w:rPr>
              <w:t>供应商必须是具有独立承担民事责任能力的在中华人民共和国境内注册的法人或其他组织或自然人，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3ABB8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12C55242">
            <w:pPr>
              <w:jc w:val="center"/>
              <w:rPr>
                <w:rFonts w:ascii="宋体" w:hAnsi="宋体" w:cs="宋体"/>
                <w:sz w:val="20"/>
                <w:szCs w:val="20"/>
              </w:rPr>
            </w:pPr>
            <w:r>
              <w:rPr>
                <w:rFonts w:hint="eastAsia" w:ascii="宋体" w:hAnsi="宋体" w:cs="宋体"/>
                <w:sz w:val="20"/>
                <w:szCs w:val="20"/>
              </w:rPr>
              <w:t>2</w:t>
            </w:r>
          </w:p>
        </w:tc>
        <w:tc>
          <w:tcPr>
            <w:tcW w:w="1541" w:type="dxa"/>
            <w:vAlign w:val="center"/>
          </w:tcPr>
          <w:p w14:paraId="2C60177F">
            <w:pPr>
              <w:rPr>
                <w:rFonts w:ascii="宋体" w:hAnsi="宋体" w:cs="宋体"/>
                <w:sz w:val="20"/>
                <w:szCs w:val="20"/>
              </w:rPr>
            </w:pPr>
            <w:r>
              <w:rPr>
                <w:rFonts w:hint="eastAsia" w:ascii="宋体" w:hAnsi="宋体" w:cs="宋体"/>
                <w:sz w:val="20"/>
                <w:szCs w:val="20"/>
              </w:rPr>
              <w:t>有依法缴纳税收和社会保障资金的良好记录</w:t>
            </w:r>
          </w:p>
        </w:tc>
        <w:tc>
          <w:tcPr>
            <w:tcW w:w="5875" w:type="dxa"/>
            <w:vAlign w:val="center"/>
          </w:tcPr>
          <w:p w14:paraId="228E3225">
            <w:pPr>
              <w:rPr>
                <w:rFonts w:ascii="宋体" w:hAnsi="宋体" w:cs="宋体"/>
                <w:sz w:val="20"/>
                <w:szCs w:val="20"/>
              </w:rPr>
            </w:pPr>
            <w:r>
              <w:rPr>
                <w:rFonts w:hint="eastAsia" w:ascii="宋体" w:hAnsi="宋体" w:cs="宋体"/>
                <w:sz w:val="20"/>
                <w:szCs w:val="20"/>
              </w:rPr>
              <w:t>依据投标函相关承诺格式内容。</w:t>
            </w:r>
          </w:p>
        </w:tc>
      </w:tr>
      <w:tr w14:paraId="0D5B2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75AC2448">
            <w:pPr>
              <w:jc w:val="center"/>
              <w:rPr>
                <w:rFonts w:ascii="宋体" w:hAnsi="宋体" w:cs="宋体"/>
                <w:sz w:val="20"/>
                <w:szCs w:val="20"/>
              </w:rPr>
            </w:pPr>
            <w:r>
              <w:rPr>
                <w:rFonts w:hint="eastAsia" w:ascii="宋体" w:hAnsi="宋体" w:cs="宋体"/>
                <w:sz w:val="20"/>
                <w:szCs w:val="20"/>
              </w:rPr>
              <w:t>3</w:t>
            </w:r>
          </w:p>
        </w:tc>
        <w:tc>
          <w:tcPr>
            <w:tcW w:w="1541" w:type="dxa"/>
            <w:vAlign w:val="center"/>
          </w:tcPr>
          <w:p w14:paraId="0EA9C810">
            <w:pPr>
              <w:rPr>
                <w:rFonts w:ascii="宋体" w:hAnsi="宋体" w:cs="宋体"/>
                <w:sz w:val="20"/>
                <w:szCs w:val="20"/>
              </w:rPr>
            </w:pPr>
            <w:r>
              <w:rPr>
                <w:rFonts w:hint="eastAsia" w:ascii="宋体" w:hAnsi="宋体" w:cs="宋体"/>
                <w:sz w:val="20"/>
                <w:szCs w:val="20"/>
              </w:rPr>
              <w:t>具有良好的商业信誉和健全的财务会计制度</w:t>
            </w:r>
          </w:p>
        </w:tc>
        <w:tc>
          <w:tcPr>
            <w:tcW w:w="5875" w:type="dxa"/>
            <w:vAlign w:val="center"/>
          </w:tcPr>
          <w:p w14:paraId="73564E10">
            <w:pPr>
              <w:rPr>
                <w:rFonts w:ascii="宋体" w:hAnsi="宋体" w:cs="宋体"/>
                <w:sz w:val="20"/>
                <w:szCs w:val="20"/>
              </w:rPr>
            </w:pPr>
            <w:r>
              <w:rPr>
                <w:rFonts w:hint="eastAsia" w:ascii="宋体" w:hAnsi="宋体" w:cs="宋体"/>
                <w:sz w:val="20"/>
                <w:szCs w:val="20"/>
              </w:rPr>
              <w:t>依据投标函相关承诺格式内容。</w:t>
            </w:r>
          </w:p>
        </w:tc>
      </w:tr>
      <w:tr w14:paraId="3AB69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5063D37F">
            <w:pPr>
              <w:jc w:val="center"/>
              <w:rPr>
                <w:rFonts w:ascii="宋体" w:hAnsi="宋体" w:cs="宋体"/>
                <w:sz w:val="20"/>
                <w:szCs w:val="20"/>
              </w:rPr>
            </w:pPr>
            <w:r>
              <w:rPr>
                <w:rFonts w:hint="eastAsia" w:ascii="宋体" w:hAnsi="宋体" w:cs="宋体"/>
                <w:sz w:val="20"/>
                <w:szCs w:val="20"/>
              </w:rPr>
              <w:t>4</w:t>
            </w:r>
          </w:p>
        </w:tc>
        <w:tc>
          <w:tcPr>
            <w:tcW w:w="1541" w:type="dxa"/>
            <w:vAlign w:val="center"/>
          </w:tcPr>
          <w:p w14:paraId="4EDC369E">
            <w:pPr>
              <w:rPr>
                <w:rFonts w:ascii="宋体" w:hAnsi="宋体" w:cs="宋体"/>
                <w:sz w:val="20"/>
                <w:szCs w:val="20"/>
              </w:rPr>
            </w:pPr>
            <w:r>
              <w:rPr>
                <w:rFonts w:hint="eastAsia" w:ascii="宋体" w:hAnsi="宋体" w:cs="宋体"/>
                <w:sz w:val="20"/>
                <w:szCs w:val="20"/>
              </w:rPr>
              <w:t>履行合同所必需的设备和专业技术能力</w:t>
            </w:r>
          </w:p>
        </w:tc>
        <w:tc>
          <w:tcPr>
            <w:tcW w:w="5875" w:type="dxa"/>
            <w:vAlign w:val="center"/>
          </w:tcPr>
          <w:p w14:paraId="45EC346A">
            <w:pPr>
              <w:rPr>
                <w:rFonts w:ascii="宋体" w:hAnsi="宋体" w:cs="宋体"/>
                <w:sz w:val="20"/>
                <w:szCs w:val="20"/>
              </w:rPr>
            </w:pPr>
            <w:r>
              <w:rPr>
                <w:rFonts w:hint="eastAsia" w:ascii="宋体" w:hAnsi="宋体" w:cs="宋体"/>
                <w:sz w:val="20"/>
                <w:szCs w:val="20"/>
              </w:rPr>
              <w:t>依据投标函相关承诺格式内容或提供具备履行合同所必需的设备和专业技术能力证明资料。</w:t>
            </w:r>
          </w:p>
        </w:tc>
      </w:tr>
      <w:tr w14:paraId="382B5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5ABE65E5">
            <w:pPr>
              <w:jc w:val="center"/>
              <w:rPr>
                <w:rFonts w:ascii="宋体" w:hAnsi="宋体" w:cs="宋体"/>
                <w:sz w:val="20"/>
                <w:szCs w:val="20"/>
              </w:rPr>
            </w:pPr>
            <w:r>
              <w:rPr>
                <w:rFonts w:hint="eastAsia" w:ascii="宋体" w:hAnsi="宋体" w:cs="宋体"/>
                <w:sz w:val="20"/>
                <w:szCs w:val="20"/>
              </w:rPr>
              <w:t>5</w:t>
            </w:r>
          </w:p>
        </w:tc>
        <w:tc>
          <w:tcPr>
            <w:tcW w:w="1541" w:type="dxa"/>
            <w:vAlign w:val="center"/>
          </w:tcPr>
          <w:p w14:paraId="225E5A33">
            <w:pPr>
              <w:rPr>
                <w:rFonts w:ascii="宋体" w:hAnsi="宋体" w:cs="宋体"/>
                <w:sz w:val="20"/>
                <w:szCs w:val="20"/>
              </w:rPr>
            </w:pPr>
            <w:r>
              <w:rPr>
                <w:rFonts w:hint="eastAsia" w:ascii="宋体" w:hAnsi="宋体" w:cs="宋体"/>
                <w:sz w:val="20"/>
                <w:szCs w:val="20"/>
              </w:rPr>
              <w:t>参加采购活动前3年内，在经营活动中没有重大违法记录</w:t>
            </w:r>
          </w:p>
        </w:tc>
        <w:tc>
          <w:tcPr>
            <w:tcW w:w="5875" w:type="dxa"/>
            <w:vAlign w:val="center"/>
          </w:tcPr>
          <w:p w14:paraId="2790BD14">
            <w:pPr>
              <w:rPr>
                <w:rFonts w:ascii="宋体" w:hAnsi="宋体" w:cs="宋体"/>
                <w:sz w:val="20"/>
                <w:szCs w:val="20"/>
              </w:rPr>
            </w:pPr>
            <w:r>
              <w:rPr>
                <w:rFonts w:hint="eastAsia" w:ascii="宋体" w:hAnsi="宋体" w:cs="宋体"/>
                <w:sz w:val="20"/>
                <w:szCs w:val="20"/>
              </w:rPr>
              <w:t>依据投标函相关承诺格式内容。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140DE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79867F29">
            <w:pPr>
              <w:jc w:val="center"/>
              <w:rPr>
                <w:rFonts w:ascii="宋体" w:hAnsi="宋体" w:cs="宋体"/>
                <w:sz w:val="20"/>
                <w:szCs w:val="20"/>
              </w:rPr>
            </w:pPr>
            <w:r>
              <w:rPr>
                <w:rFonts w:hint="eastAsia" w:ascii="宋体" w:hAnsi="宋体" w:cs="宋体"/>
                <w:sz w:val="20"/>
                <w:szCs w:val="20"/>
              </w:rPr>
              <w:t>6</w:t>
            </w:r>
          </w:p>
        </w:tc>
        <w:tc>
          <w:tcPr>
            <w:tcW w:w="1541" w:type="dxa"/>
            <w:vAlign w:val="center"/>
          </w:tcPr>
          <w:p w14:paraId="4165B40D">
            <w:pPr>
              <w:rPr>
                <w:rFonts w:ascii="宋体" w:hAnsi="宋体" w:cs="宋体"/>
                <w:sz w:val="20"/>
                <w:szCs w:val="20"/>
              </w:rPr>
            </w:pPr>
            <w:r>
              <w:rPr>
                <w:rFonts w:hint="eastAsia" w:ascii="宋体" w:hAnsi="宋体" w:cs="宋体"/>
                <w:sz w:val="20"/>
                <w:szCs w:val="20"/>
              </w:rPr>
              <w:t>信用记录</w:t>
            </w:r>
          </w:p>
        </w:tc>
        <w:tc>
          <w:tcPr>
            <w:tcW w:w="5875" w:type="dxa"/>
            <w:vAlign w:val="center"/>
          </w:tcPr>
          <w:p w14:paraId="2D01369E">
            <w:pPr>
              <w:rPr>
                <w:rFonts w:ascii="宋体" w:hAnsi="宋体" w:cs="宋体"/>
                <w:sz w:val="20"/>
                <w:szCs w:val="20"/>
              </w:rPr>
            </w:pPr>
            <w:r>
              <w:rPr>
                <w:rFonts w:hint="eastAsia" w:ascii="宋体" w:hAnsi="宋体" w:cs="宋体"/>
                <w:sz w:val="20"/>
                <w:szCs w:val="20"/>
              </w:rPr>
              <w:t>供应商未被列入“信用中国”网站(www.creditchina.gov.cn)“记录失信被执行人或严重失信主体或政府采购严重违法失信行为”记录名单；不处于中国政府采购网(www.ccgp.gov.cn)“政府采购严重违法失信行为信息记录”中的禁止参加政府采 购活动期间。（以资格审查人员于投标（响应）截止时间当天在“信用中国”网站（www.creditchina.gov.cn）及中国政府采购网（http://www.ccgp.gov.cn/）查询结果为准，如相关失信记录已失效，供应商需提供相关证明资料）。</w:t>
            </w:r>
          </w:p>
        </w:tc>
      </w:tr>
      <w:tr w14:paraId="6B319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42974403">
            <w:pPr>
              <w:jc w:val="center"/>
              <w:rPr>
                <w:rFonts w:ascii="宋体" w:hAnsi="宋体" w:cs="宋体"/>
                <w:sz w:val="20"/>
                <w:szCs w:val="20"/>
              </w:rPr>
            </w:pPr>
            <w:r>
              <w:rPr>
                <w:rFonts w:hint="eastAsia" w:ascii="宋体" w:hAnsi="宋体" w:cs="宋体"/>
                <w:sz w:val="20"/>
                <w:szCs w:val="20"/>
              </w:rPr>
              <w:t>7</w:t>
            </w:r>
          </w:p>
        </w:tc>
        <w:tc>
          <w:tcPr>
            <w:tcW w:w="1541" w:type="dxa"/>
            <w:vAlign w:val="center"/>
          </w:tcPr>
          <w:p w14:paraId="685A43CA">
            <w:pPr>
              <w:rPr>
                <w:rFonts w:ascii="宋体" w:hAnsi="宋体" w:cs="宋体"/>
                <w:sz w:val="20"/>
                <w:szCs w:val="20"/>
              </w:rPr>
            </w:pPr>
            <w:r>
              <w:rPr>
                <w:rFonts w:hint="eastAsia" w:ascii="宋体" w:hAnsi="宋体" w:cs="宋体"/>
                <w:sz w:val="20"/>
                <w:szCs w:val="20"/>
              </w:rPr>
              <w:t>供应商必须符合法律、行政法规规定的其他条件</w:t>
            </w:r>
          </w:p>
        </w:tc>
        <w:tc>
          <w:tcPr>
            <w:tcW w:w="5875" w:type="dxa"/>
            <w:vAlign w:val="center"/>
          </w:tcPr>
          <w:p w14:paraId="1B7413F9">
            <w:pPr>
              <w:rPr>
                <w:rFonts w:ascii="宋体" w:hAnsi="宋体" w:cs="宋体"/>
                <w:sz w:val="20"/>
                <w:szCs w:val="20"/>
              </w:rPr>
            </w:pPr>
            <w:r>
              <w:rPr>
                <w:rFonts w:hint="eastAsia" w:ascii="宋体" w:hAnsi="宋体" w:cs="宋体"/>
                <w:sz w:val="20"/>
                <w:szCs w:val="20"/>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依据投标函相关承诺要求内容。</w:t>
            </w:r>
          </w:p>
        </w:tc>
      </w:tr>
      <w:tr w14:paraId="29197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0" w:type="dxa"/>
            <w:vAlign w:val="center"/>
          </w:tcPr>
          <w:p w14:paraId="551BF951">
            <w:pPr>
              <w:jc w:val="center"/>
              <w:rPr>
                <w:rFonts w:ascii="宋体" w:hAnsi="宋体" w:cs="宋体"/>
                <w:sz w:val="20"/>
                <w:szCs w:val="20"/>
              </w:rPr>
            </w:pPr>
            <w:r>
              <w:rPr>
                <w:rFonts w:hint="eastAsia" w:ascii="宋体" w:hAnsi="宋体" w:cs="宋体"/>
                <w:sz w:val="20"/>
                <w:szCs w:val="20"/>
              </w:rPr>
              <w:t>8</w:t>
            </w:r>
          </w:p>
        </w:tc>
        <w:tc>
          <w:tcPr>
            <w:tcW w:w="1541" w:type="dxa"/>
            <w:vAlign w:val="center"/>
          </w:tcPr>
          <w:p w14:paraId="3EFCECC8">
            <w:pPr>
              <w:rPr>
                <w:rFonts w:ascii="宋体" w:hAnsi="宋体" w:cs="宋体"/>
                <w:sz w:val="20"/>
                <w:szCs w:val="20"/>
              </w:rPr>
            </w:pPr>
            <w:r>
              <w:rPr>
                <w:rFonts w:hint="eastAsia" w:ascii="宋体" w:hAnsi="宋体" w:cs="宋体"/>
                <w:sz w:val="20"/>
                <w:szCs w:val="20"/>
              </w:rPr>
              <w:t>落实政府采购政策需满足的资格要求</w:t>
            </w:r>
          </w:p>
        </w:tc>
        <w:tc>
          <w:tcPr>
            <w:tcW w:w="5875" w:type="dxa"/>
            <w:vAlign w:val="center"/>
          </w:tcPr>
          <w:p w14:paraId="5543AC82">
            <w:pPr>
              <w:rPr>
                <w:rFonts w:ascii="宋体" w:hAnsi="宋体" w:cs="宋体"/>
                <w:sz w:val="20"/>
                <w:szCs w:val="20"/>
              </w:rPr>
            </w:pPr>
            <w:r>
              <w:rPr>
                <w:rFonts w:hint="eastAsia" w:ascii="宋体" w:hAnsi="宋体" w:cs="宋体"/>
                <w:sz w:val="20"/>
                <w:szCs w:val="20"/>
              </w:rPr>
              <w:t>本项目属于专门面向中小企业采购的项目。</w:t>
            </w:r>
          </w:p>
        </w:tc>
      </w:tr>
    </w:tbl>
    <w:p w14:paraId="0C62D0BD">
      <w:pPr>
        <w:pStyle w:val="25"/>
        <w:ind w:firstLine="480"/>
        <w:rPr>
          <w:rFonts w:hint="default"/>
        </w:rPr>
      </w:pPr>
    </w:p>
    <w:p w14:paraId="4710427B">
      <w:pPr>
        <w:pStyle w:val="25"/>
        <w:ind w:firstLine="480"/>
        <w:rPr>
          <w:rFonts w:hint="default"/>
        </w:rPr>
      </w:pPr>
      <w:r>
        <w:t>表二符合性审查表：</w:t>
      </w:r>
    </w:p>
    <w:tbl>
      <w:tblPr>
        <w:tblStyle w:val="20"/>
        <w:tblW w:w="0" w:type="auto"/>
        <w:tblInd w:w="51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8"/>
        <w:gridCol w:w="3063"/>
        <w:gridCol w:w="4075"/>
      </w:tblGrid>
      <w:tr w14:paraId="5AC95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EA33042">
            <w:pPr>
              <w:pStyle w:val="25"/>
              <w:jc w:val="center"/>
              <w:rPr>
                <w:rFonts w:hint="default"/>
              </w:rPr>
            </w:pPr>
            <w:r>
              <w:t>序号</w:t>
            </w:r>
          </w:p>
        </w:tc>
        <w:tc>
          <w:tcPr>
            <w:tcW w:w="3178" w:type="dxa"/>
            <w:vAlign w:val="center"/>
          </w:tcPr>
          <w:p w14:paraId="70CD4650">
            <w:pPr>
              <w:pStyle w:val="25"/>
              <w:jc w:val="center"/>
              <w:rPr>
                <w:rFonts w:hint="default"/>
              </w:rPr>
            </w:pPr>
            <w:r>
              <w:t>评审点要求概况</w:t>
            </w:r>
          </w:p>
        </w:tc>
        <w:tc>
          <w:tcPr>
            <w:tcW w:w="4238" w:type="dxa"/>
            <w:vAlign w:val="center"/>
          </w:tcPr>
          <w:p w14:paraId="65A107A4">
            <w:pPr>
              <w:pStyle w:val="25"/>
              <w:jc w:val="center"/>
              <w:rPr>
                <w:rFonts w:hint="default"/>
              </w:rPr>
            </w:pPr>
            <w:r>
              <w:t>评审点具体描述</w:t>
            </w:r>
          </w:p>
        </w:tc>
      </w:tr>
      <w:tr w14:paraId="54666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099DCDB">
            <w:pPr>
              <w:pStyle w:val="25"/>
              <w:jc w:val="center"/>
              <w:rPr>
                <w:rFonts w:hint="default"/>
              </w:rPr>
            </w:pPr>
            <w:r>
              <w:t>1</w:t>
            </w:r>
          </w:p>
        </w:tc>
        <w:tc>
          <w:tcPr>
            <w:tcW w:w="3178" w:type="dxa"/>
            <w:vAlign w:val="center"/>
          </w:tcPr>
          <w:p w14:paraId="351C1F03">
            <w:pPr>
              <w:pStyle w:val="25"/>
              <w:jc w:val="center"/>
              <w:rPr>
                <w:rFonts w:hint="default"/>
              </w:rPr>
            </w:pPr>
            <w:r>
              <w:t>投标报价</w:t>
            </w:r>
          </w:p>
        </w:tc>
        <w:tc>
          <w:tcPr>
            <w:tcW w:w="4238" w:type="dxa"/>
          </w:tcPr>
          <w:p w14:paraId="70CFF6D4">
            <w:pPr>
              <w:pStyle w:val="25"/>
              <w:rPr>
                <w:rFonts w:hint="default"/>
              </w:rPr>
            </w:pPr>
            <w:r>
              <w:t>投标报价是否按招标文件要求或投标报价是否未超出本采购包最高限价的。</w:t>
            </w:r>
          </w:p>
        </w:tc>
      </w:tr>
      <w:tr w14:paraId="26613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7ADE2A2">
            <w:pPr>
              <w:pStyle w:val="25"/>
              <w:jc w:val="center"/>
              <w:rPr>
                <w:rFonts w:hint="default"/>
              </w:rPr>
            </w:pPr>
            <w:r>
              <w:t>2</w:t>
            </w:r>
          </w:p>
        </w:tc>
        <w:tc>
          <w:tcPr>
            <w:tcW w:w="3178" w:type="dxa"/>
            <w:vAlign w:val="center"/>
          </w:tcPr>
          <w:p w14:paraId="37AE6B3D">
            <w:pPr>
              <w:pStyle w:val="25"/>
              <w:jc w:val="center"/>
              <w:rPr>
                <w:rFonts w:hint="default"/>
              </w:rPr>
            </w:pPr>
            <w:r>
              <w:t>投标有效期</w:t>
            </w:r>
          </w:p>
        </w:tc>
        <w:tc>
          <w:tcPr>
            <w:tcW w:w="4238" w:type="dxa"/>
          </w:tcPr>
          <w:p w14:paraId="1C2C9136">
            <w:pPr>
              <w:pStyle w:val="25"/>
              <w:rPr>
                <w:rFonts w:hint="default"/>
              </w:rPr>
            </w:pPr>
            <w:r>
              <w:t>投标有效期是否符合招标文件的规定。</w:t>
            </w:r>
          </w:p>
        </w:tc>
      </w:tr>
      <w:tr w14:paraId="195B6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E97BC85">
            <w:pPr>
              <w:pStyle w:val="25"/>
              <w:jc w:val="center"/>
              <w:rPr>
                <w:rFonts w:hint="default"/>
              </w:rPr>
            </w:pPr>
            <w:r>
              <w:t>3</w:t>
            </w:r>
          </w:p>
        </w:tc>
        <w:tc>
          <w:tcPr>
            <w:tcW w:w="3178" w:type="dxa"/>
            <w:vAlign w:val="center"/>
          </w:tcPr>
          <w:p w14:paraId="4D989D00">
            <w:pPr>
              <w:pStyle w:val="25"/>
              <w:jc w:val="center"/>
              <w:rPr>
                <w:rFonts w:hint="default"/>
              </w:rPr>
            </w:pPr>
            <w:r>
              <w:t>投标文件式样和签署、盖章要求</w:t>
            </w:r>
          </w:p>
        </w:tc>
        <w:tc>
          <w:tcPr>
            <w:tcW w:w="4238" w:type="dxa"/>
          </w:tcPr>
          <w:p w14:paraId="785C1B84">
            <w:pPr>
              <w:pStyle w:val="25"/>
              <w:rPr>
                <w:rFonts w:hint="default"/>
              </w:rPr>
            </w:pPr>
            <w:r>
              <w:t>投标文件是否符合招标文件规定的式样和签署、盖章要求。</w:t>
            </w:r>
          </w:p>
        </w:tc>
      </w:tr>
      <w:tr w14:paraId="27E90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D3C5C86">
            <w:pPr>
              <w:pStyle w:val="25"/>
              <w:jc w:val="center"/>
              <w:rPr>
                <w:rFonts w:hint="default"/>
              </w:rPr>
            </w:pPr>
            <w:r>
              <w:t>4</w:t>
            </w:r>
          </w:p>
        </w:tc>
        <w:tc>
          <w:tcPr>
            <w:tcW w:w="3178" w:type="dxa"/>
            <w:vAlign w:val="center"/>
          </w:tcPr>
          <w:p w14:paraId="28E0DF51">
            <w:pPr>
              <w:pStyle w:val="25"/>
              <w:jc w:val="center"/>
              <w:rPr>
                <w:rFonts w:hint="default"/>
              </w:rPr>
            </w:pPr>
            <w:r>
              <w:t>法定代表人签字或签字人是否有法定代表人的有效授权</w:t>
            </w:r>
          </w:p>
        </w:tc>
        <w:tc>
          <w:tcPr>
            <w:tcW w:w="4238" w:type="dxa"/>
          </w:tcPr>
          <w:p w14:paraId="577EAAA2">
            <w:pPr>
              <w:pStyle w:val="25"/>
              <w:rPr>
                <w:rFonts w:hint="default"/>
              </w:rPr>
            </w:pPr>
            <w:r>
              <w:t>按对应格式文件签署、盖章，法定代表人证明书应提供清晰有效法定代表人身份证复印件，法定代表人授权书应提供清晰有效的被授权人身份证复印件。</w:t>
            </w:r>
          </w:p>
        </w:tc>
      </w:tr>
      <w:tr w14:paraId="55F15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4004A9D">
            <w:pPr>
              <w:pStyle w:val="25"/>
              <w:jc w:val="center"/>
              <w:rPr>
                <w:rFonts w:hint="default"/>
              </w:rPr>
            </w:pPr>
            <w:r>
              <w:t>5</w:t>
            </w:r>
          </w:p>
        </w:tc>
        <w:tc>
          <w:tcPr>
            <w:tcW w:w="3178" w:type="dxa"/>
            <w:vAlign w:val="center"/>
          </w:tcPr>
          <w:p w14:paraId="461C9B82">
            <w:pPr>
              <w:pStyle w:val="25"/>
              <w:jc w:val="center"/>
              <w:rPr>
                <w:rFonts w:hint="default"/>
              </w:rPr>
            </w:pPr>
            <w:r>
              <w:t>实质性条款（即标注★号条款)</w:t>
            </w:r>
          </w:p>
        </w:tc>
        <w:tc>
          <w:tcPr>
            <w:tcW w:w="4238" w:type="dxa"/>
          </w:tcPr>
          <w:p w14:paraId="6018A9FA">
            <w:pPr>
              <w:pStyle w:val="25"/>
              <w:rPr>
                <w:rFonts w:hint="default"/>
              </w:rPr>
            </w:pPr>
            <w:r>
              <w:t>投标文件对招标文件的实质性条款（即标注★号条款）未产生偏离。</w:t>
            </w:r>
          </w:p>
        </w:tc>
      </w:tr>
      <w:tr w14:paraId="46D51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711CA1C">
            <w:pPr>
              <w:pStyle w:val="25"/>
              <w:jc w:val="center"/>
              <w:rPr>
                <w:rFonts w:hint="default"/>
              </w:rPr>
            </w:pPr>
            <w:r>
              <w:t>6</w:t>
            </w:r>
          </w:p>
        </w:tc>
        <w:tc>
          <w:tcPr>
            <w:tcW w:w="3178" w:type="dxa"/>
            <w:vAlign w:val="center"/>
          </w:tcPr>
          <w:p w14:paraId="496DA675">
            <w:pPr>
              <w:pStyle w:val="25"/>
              <w:jc w:val="center"/>
              <w:rPr>
                <w:rFonts w:hint="default"/>
              </w:rPr>
            </w:pPr>
            <w:r>
              <w:t>报价合理性</w:t>
            </w:r>
          </w:p>
        </w:tc>
        <w:tc>
          <w:tcPr>
            <w:tcW w:w="4238" w:type="dxa"/>
          </w:tcPr>
          <w:p w14:paraId="18B8CF42">
            <w:pPr>
              <w:pStyle w:val="25"/>
              <w:rPr>
                <w:rFonts w:hint="default"/>
              </w:rPr>
            </w:pPr>
            <w:r>
              <w:t>投标报价没有明显低于其他通过初步评审投标人的报价，或者评标委员会认为投标人的报价明显低于其他通过初步评审投标人的报价，有可能影响产品质量或者不能诚信履约的，投标人能在规定时间内应评标委员会要求提供证明材料证明其报价合理性的。</w:t>
            </w:r>
          </w:p>
        </w:tc>
      </w:tr>
      <w:tr w14:paraId="503F1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F7DC290">
            <w:pPr>
              <w:pStyle w:val="25"/>
              <w:jc w:val="center"/>
              <w:rPr>
                <w:rFonts w:hint="default"/>
              </w:rPr>
            </w:pPr>
            <w:r>
              <w:t>7</w:t>
            </w:r>
          </w:p>
        </w:tc>
        <w:tc>
          <w:tcPr>
            <w:tcW w:w="3178" w:type="dxa"/>
            <w:vAlign w:val="center"/>
          </w:tcPr>
          <w:p w14:paraId="7C8EC05E">
            <w:pPr>
              <w:pStyle w:val="25"/>
              <w:jc w:val="center"/>
              <w:rPr>
                <w:rFonts w:hint="default"/>
              </w:rPr>
            </w:pPr>
            <w:r>
              <w:t>其他</w:t>
            </w:r>
          </w:p>
        </w:tc>
        <w:tc>
          <w:tcPr>
            <w:tcW w:w="4238" w:type="dxa"/>
          </w:tcPr>
          <w:p w14:paraId="740AB48B">
            <w:pPr>
              <w:pStyle w:val="25"/>
              <w:rPr>
                <w:rFonts w:hint="default"/>
              </w:rPr>
            </w:pPr>
            <w:r>
              <w:t>投标文件不存在采购人不能接受的附加条件；无符合招标文件中规定的被视为无效投标的其它条款的；无不符合法律、法规规定的其他实质性要求。</w:t>
            </w:r>
          </w:p>
        </w:tc>
      </w:tr>
    </w:tbl>
    <w:p w14:paraId="7F31E6B1">
      <w:pPr>
        <w:pStyle w:val="25"/>
        <w:outlineLvl w:val="3"/>
        <w:rPr>
          <w:rFonts w:hint="default"/>
          <w:b/>
        </w:rPr>
      </w:pPr>
    </w:p>
    <w:p w14:paraId="60FE345F">
      <w:pPr>
        <w:pStyle w:val="25"/>
        <w:outlineLvl w:val="3"/>
        <w:rPr>
          <w:rFonts w:hint="default"/>
        </w:rPr>
      </w:pPr>
      <w:r>
        <w:rPr>
          <w:b/>
        </w:rPr>
        <w:t>2.投标文件澄清</w:t>
      </w:r>
    </w:p>
    <w:p w14:paraId="44902F76">
      <w:pPr>
        <w:pStyle w:val="25"/>
        <w:ind w:firstLine="480"/>
        <w:rPr>
          <w:rFonts w:hint="default"/>
        </w:rPr>
      </w:pPr>
      <w:r>
        <w:t xml:space="preserve"> 2.1对于投标文件中含义不明确、同类问题表述不一致或者有明显文字和计算错误的内容，评标委员会应当在评审过程中发起澄清，要求投标人针对价格或内容做出必要的澄清、说明或补正。</w:t>
      </w:r>
    </w:p>
    <w:p w14:paraId="2970D484">
      <w:pPr>
        <w:pStyle w:val="25"/>
        <w:ind w:firstLine="480"/>
        <w:rPr>
          <w:rFonts w:hint="default"/>
        </w:rPr>
      </w:pPr>
      <w:r>
        <w:rPr>
          <w:lang w:eastAsia="zh-CN"/>
        </w:rPr>
        <w:t>投标人的澄清、说明或者补正应当采用书面形式，并加盖公章，或者由法定代表人或其授权的代表签字。</w:t>
      </w:r>
      <w:r>
        <w:t>投标人的澄清、说明或者补正不得超出投标文件的范围或者改变投标文件的实质性内容。</w:t>
      </w:r>
    </w:p>
    <w:p w14:paraId="58380928">
      <w:pPr>
        <w:pStyle w:val="25"/>
        <w:ind w:firstLine="480"/>
        <w:rPr>
          <w:rFonts w:hint="default"/>
        </w:rPr>
      </w:pPr>
      <w:r>
        <w:t>2.2评标委员会不接受投标人主动提出的澄清、说明或补正。</w:t>
      </w:r>
    </w:p>
    <w:p w14:paraId="58DA261E">
      <w:pPr>
        <w:pStyle w:val="25"/>
        <w:ind w:firstLine="480"/>
        <w:rPr>
          <w:rFonts w:hint="default"/>
        </w:rPr>
      </w:pPr>
      <w:r>
        <w:t>2.3评标委员会对投标人提交的澄清、说明或补正有疑问的，可以要求投标人进一步澄清、说明或补正。</w:t>
      </w:r>
    </w:p>
    <w:p w14:paraId="7CC3A05E">
      <w:pPr>
        <w:pStyle w:val="25"/>
        <w:outlineLvl w:val="3"/>
        <w:rPr>
          <w:rFonts w:hint="default"/>
        </w:rPr>
      </w:pPr>
      <w:r>
        <w:rPr>
          <w:b/>
          <w:sz w:val="24"/>
        </w:rPr>
        <w:t>3.评标办法</w:t>
      </w:r>
    </w:p>
    <w:p w14:paraId="203E891F">
      <w:pPr>
        <w:pStyle w:val="25"/>
        <w:outlineLvl w:val="3"/>
        <w:rPr>
          <w:rFonts w:hint="default"/>
          <w:b/>
          <w:sz w:val="24"/>
        </w:rPr>
      </w:pPr>
      <w:r>
        <w:rPr>
          <w:b/>
          <w:sz w:val="24"/>
        </w:rPr>
        <w:t>采购包1（</w:t>
      </w:r>
      <w:r>
        <w:rPr>
          <w:b/>
          <w:sz w:val="24"/>
          <w:lang w:eastAsia="zh-CN"/>
        </w:rPr>
        <w:t>新生儿呼吸机采购项目</w:t>
      </w:r>
      <w:r>
        <w:rPr>
          <w:b/>
          <w:sz w:val="24"/>
        </w:rPr>
        <w:t>）</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0BE80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67701162">
            <w:pPr>
              <w:pStyle w:val="25"/>
              <w:jc w:val="center"/>
              <w:rPr>
                <w:rFonts w:hint="default"/>
              </w:rPr>
            </w:pPr>
            <w:r>
              <w:t>评审因素</w:t>
            </w:r>
          </w:p>
        </w:tc>
        <w:tc>
          <w:tcPr>
            <w:tcW w:w="7383" w:type="dxa"/>
            <w:gridSpan w:val="2"/>
          </w:tcPr>
          <w:p w14:paraId="24444C92">
            <w:pPr>
              <w:pStyle w:val="25"/>
              <w:jc w:val="center"/>
              <w:rPr>
                <w:rFonts w:hint="default"/>
              </w:rPr>
            </w:pPr>
            <w:r>
              <w:t>评审标准</w:t>
            </w:r>
          </w:p>
        </w:tc>
      </w:tr>
      <w:tr w14:paraId="08753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794E5626">
            <w:pPr>
              <w:pStyle w:val="25"/>
              <w:jc w:val="center"/>
              <w:rPr>
                <w:rFonts w:hint="default"/>
              </w:rPr>
            </w:pPr>
            <w:r>
              <w:t>分值构成</w:t>
            </w:r>
          </w:p>
        </w:tc>
        <w:tc>
          <w:tcPr>
            <w:tcW w:w="7383" w:type="dxa"/>
            <w:gridSpan w:val="2"/>
          </w:tcPr>
          <w:p w14:paraId="1A860CC9">
            <w:pPr>
              <w:pStyle w:val="25"/>
              <w:rPr>
                <w:rFonts w:hint="default"/>
              </w:rPr>
            </w:pPr>
            <w:r>
              <w:t>商务部分</w:t>
            </w:r>
            <w:r>
              <w:rPr>
                <w:rFonts w:hint="eastAsia"/>
                <w:lang w:val="en-US" w:eastAsia="zh-CN"/>
              </w:rPr>
              <w:t>15</w:t>
            </w:r>
            <w:r>
              <w:t>.0分</w:t>
            </w:r>
          </w:p>
          <w:p w14:paraId="58BE4941">
            <w:pPr>
              <w:pStyle w:val="25"/>
              <w:rPr>
                <w:rFonts w:hint="default"/>
              </w:rPr>
            </w:pPr>
            <w:r>
              <w:t>技术部分</w:t>
            </w:r>
            <w:r>
              <w:rPr>
                <w:lang w:eastAsia="zh-CN"/>
              </w:rPr>
              <w:t>50</w:t>
            </w:r>
            <w:r>
              <w:t>.0分</w:t>
            </w:r>
          </w:p>
          <w:p w14:paraId="70DE80F2">
            <w:pPr>
              <w:pStyle w:val="25"/>
              <w:rPr>
                <w:rFonts w:hint="default"/>
              </w:rPr>
            </w:pPr>
            <w:r>
              <w:t>报价得分3</w:t>
            </w:r>
            <w:r>
              <w:rPr>
                <w:rFonts w:hint="eastAsia"/>
                <w:lang w:val="en-US" w:eastAsia="zh-CN"/>
              </w:rPr>
              <w:t>5</w:t>
            </w:r>
            <w:r>
              <w:t>.0分</w:t>
            </w:r>
          </w:p>
        </w:tc>
      </w:tr>
      <w:tr w14:paraId="3BB1C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7D4636C7">
            <w:pPr>
              <w:pStyle w:val="25"/>
              <w:jc w:val="center"/>
              <w:rPr>
                <w:rFonts w:hint="default"/>
              </w:rPr>
            </w:pPr>
            <w:r>
              <w:t>技术部分</w:t>
            </w:r>
          </w:p>
        </w:tc>
        <w:tc>
          <w:tcPr>
            <w:tcW w:w="2307" w:type="dxa"/>
          </w:tcPr>
          <w:p w14:paraId="549A9106">
            <w:pPr>
              <w:pStyle w:val="25"/>
              <w:rPr>
                <w:rFonts w:hint="default"/>
              </w:rPr>
            </w:pPr>
            <w:r>
              <w:t>所投货物对技术参数要求中带▲号的重要参数的符合性 (</w:t>
            </w:r>
            <w:r>
              <w:rPr>
                <w:lang w:eastAsia="zh-CN"/>
              </w:rPr>
              <w:t>28</w:t>
            </w:r>
            <w:r>
              <w:t>.0分)</w:t>
            </w:r>
          </w:p>
        </w:tc>
        <w:tc>
          <w:tcPr>
            <w:tcW w:w="5076" w:type="dxa"/>
          </w:tcPr>
          <w:p w14:paraId="5A789EE1">
            <w:pPr>
              <w:pStyle w:val="32"/>
              <w:spacing w:line="240" w:lineRule="auto"/>
              <w:ind w:firstLine="0"/>
              <w:rPr>
                <w:rFonts w:hint="default" w:ascii="Calibri" w:hAnsi="Calibri"/>
                <w:snapToGrid/>
                <w:sz w:val="20"/>
                <w:szCs w:val="20"/>
                <w:lang w:eastAsia="zh-Hans"/>
              </w:rPr>
            </w:pPr>
            <w:r>
              <w:rPr>
                <w:rFonts w:ascii="Calibri" w:hAnsi="Calibri"/>
                <w:snapToGrid/>
                <w:sz w:val="20"/>
                <w:szCs w:val="20"/>
              </w:rPr>
              <w:t>所投产品技术参数要求中带▲的重要参数共有7项，有1项带▲号的条款负偏离，扣4分；以此类推，该项最高得28分。 所有响应供应商须提供国家检测机构的检测报告，或原厂出具的详尽的技术参数说明书（技术白皮书）或提供该技术检查结果图片或公开发布的技术彩页等作为技术证明文件，否则评标委员会有权视相应技术参数响应不符合用户需求书要求（如厂家的产品使用说明书为英文版，请同时提供中文版）。</w:t>
            </w:r>
          </w:p>
        </w:tc>
      </w:tr>
      <w:tr w14:paraId="70CF0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EC05992"/>
        </w:tc>
        <w:tc>
          <w:tcPr>
            <w:tcW w:w="2307" w:type="dxa"/>
          </w:tcPr>
          <w:p w14:paraId="32CB816D">
            <w:pPr>
              <w:pStyle w:val="25"/>
              <w:rPr>
                <w:rFonts w:hint="default"/>
              </w:rPr>
            </w:pPr>
            <w:r>
              <w:t>所投货物技术参数要求 (</w:t>
            </w:r>
            <w:r>
              <w:rPr>
                <w:lang w:eastAsia="zh-CN"/>
              </w:rPr>
              <w:t>1</w:t>
            </w:r>
            <w:r>
              <w:t>9.0分)</w:t>
            </w:r>
          </w:p>
        </w:tc>
        <w:tc>
          <w:tcPr>
            <w:tcW w:w="5076" w:type="dxa"/>
          </w:tcPr>
          <w:p w14:paraId="76E38A6B">
            <w:pPr>
              <w:pStyle w:val="32"/>
              <w:spacing w:line="240" w:lineRule="auto"/>
              <w:ind w:firstLine="0"/>
              <w:rPr>
                <w:rFonts w:hint="default" w:ascii="Calibri" w:hAnsi="Calibri"/>
                <w:snapToGrid/>
                <w:sz w:val="20"/>
                <w:szCs w:val="20"/>
                <w:lang w:eastAsia="zh-Hans"/>
              </w:rPr>
            </w:pPr>
            <w:r>
              <w:rPr>
                <w:rFonts w:ascii="Calibri" w:hAnsi="Calibri"/>
                <w:snapToGrid/>
                <w:sz w:val="20"/>
                <w:szCs w:val="20"/>
                <w:lang w:eastAsia="zh-Hans"/>
              </w:rPr>
              <w:t>未标注“▲”和“★”符号的一般技术参数共</w:t>
            </w:r>
            <w:r>
              <w:rPr>
                <w:rFonts w:ascii="Calibri" w:hAnsi="Calibri"/>
                <w:snapToGrid/>
                <w:sz w:val="20"/>
                <w:szCs w:val="20"/>
              </w:rPr>
              <w:t>38</w:t>
            </w:r>
            <w:r>
              <w:rPr>
                <w:rFonts w:ascii="Calibri" w:hAnsi="Calibri"/>
                <w:snapToGrid/>
                <w:sz w:val="20"/>
                <w:szCs w:val="20"/>
                <w:lang w:eastAsia="zh-Hans"/>
              </w:rPr>
              <w:t>项，有1项一般技术参数负偏离，扣0.5分；以此类推，该项最高得</w:t>
            </w:r>
            <w:r>
              <w:rPr>
                <w:rFonts w:ascii="Calibri" w:hAnsi="Calibri"/>
                <w:snapToGrid/>
                <w:sz w:val="20"/>
                <w:szCs w:val="20"/>
              </w:rPr>
              <w:t>19</w:t>
            </w:r>
            <w:r>
              <w:rPr>
                <w:rFonts w:ascii="Calibri" w:hAnsi="Calibri"/>
                <w:snapToGrid/>
                <w:sz w:val="20"/>
                <w:szCs w:val="20"/>
                <w:lang w:eastAsia="zh-Hans"/>
              </w:rPr>
              <w:t>分。</w:t>
            </w:r>
          </w:p>
        </w:tc>
      </w:tr>
      <w:tr w14:paraId="28202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7A370C7"/>
        </w:tc>
        <w:tc>
          <w:tcPr>
            <w:tcW w:w="2307" w:type="dxa"/>
          </w:tcPr>
          <w:p w14:paraId="222912B3">
            <w:pPr>
              <w:pStyle w:val="25"/>
              <w:rPr>
                <w:rFonts w:hint="default"/>
              </w:rPr>
            </w:pPr>
            <w:r>
              <w:t>实施技术方案 (3.0分)</w:t>
            </w:r>
          </w:p>
        </w:tc>
        <w:tc>
          <w:tcPr>
            <w:tcW w:w="5076" w:type="dxa"/>
          </w:tcPr>
          <w:p w14:paraId="4228CC1F">
            <w:pPr>
              <w:pStyle w:val="32"/>
              <w:spacing w:line="240" w:lineRule="auto"/>
              <w:ind w:firstLine="0"/>
              <w:rPr>
                <w:rFonts w:hint="default" w:ascii="Calibri" w:hAnsi="Calibri"/>
                <w:snapToGrid/>
                <w:sz w:val="20"/>
                <w:szCs w:val="20"/>
              </w:rPr>
            </w:pPr>
            <w:r>
              <w:rPr>
                <w:rFonts w:ascii="Calibri" w:hAnsi="Calibri"/>
                <w:snapToGrid/>
                <w:sz w:val="20"/>
                <w:szCs w:val="20"/>
              </w:rPr>
              <w:t>根据各响应供应商提供的本项目实施技术方案（包含但不限于供货质量保证、总体管理安排、特殊情况处理机制等）进行评审：</w:t>
            </w:r>
          </w:p>
          <w:p w14:paraId="594CB984">
            <w:pPr>
              <w:pStyle w:val="32"/>
              <w:spacing w:line="240" w:lineRule="auto"/>
              <w:ind w:firstLine="0"/>
              <w:rPr>
                <w:rFonts w:hint="default" w:ascii="Calibri" w:hAnsi="Calibri"/>
                <w:snapToGrid/>
                <w:sz w:val="20"/>
                <w:szCs w:val="20"/>
              </w:rPr>
            </w:pPr>
            <w:r>
              <w:rPr>
                <w:rFonts w:ascii="Calibri" w:hAnsi="Calibri"/>
                <w:snapToGrid/>
                <w:sz w:val="20"/>
                <w:szCs w:val="20"/>
              </w:rPr>
              <w:t>（1）供货质量保证体系严苛，针对新生儿呼吸机气道压力调节、氧浓度控制、呼气末正压调节、报警系统等核心医用部件，制定出厂检测、到货验收、安装调试全环节专项质控及溯源机制，符合新生儿重症监护设备安全规范；总体管理安排科学，明确项目组织架构、专业医用技术团队配置、设备供货周期、上门安装调试流程、院感防控适配措施等，贴合医院临床使用实际；特殊情况处理机制全面，针对设备运输损坏、安装适配偏差、临床使用中突发故障（如气道压力异常、报警失灵）等场景，制定 7×24 小时应急处置流程、备用设备调配方案及故障补救措施，方案整体全面、周到、细致，可操作性强，且核心保障标准优于采购需求，得 3 分；</w:t>
            </w:r>
          </w:p>
          <w:p w14:paraId="3E17C07A">
            <w:pPr>
              <w:pStyle w:val="32"/>
              <w:spacing w:line="240" w:lineRule="auto"/>
              <w:ind w:firstLine="0"/>
              <w:rPr>
                <w:rFonts w:hint="default" w:ascii="Calibri" w:hAnsi="Calibri"/>
                <w:snapToGrid/>
                <w:sz w:val="20"/>
                <w:szCs w:val="20"/>
              </w:rPr>
            </w:pPr>
            <w:r>
              <w:rPr>
                <w:rFonts w:ascii="Calibri" w:hAnsi="Calibri"/>
                <w:snapToGrid/>
                <w:sz w:val="20"/>
                <w:szCs w:val="20"/>
              </w:rPr>
              <w:t>（2）供货质量保证措施明确，针对新生儿呼吸机核心部件制定基础验收标准，满足医用设备质量及临床安全使用要求；总体管理安排清晰，具备完善的组织架构、专业技术人员配置及基础的供货、安装流程，可支撑设备正常投入临床使用；特殊情况处理机制覆盖设备故障、运输损坏等核心场景，有明确处置办法，方案基本可行，具有可操作性，满足采购需求，得 2 分；</w:t>
            </w:r>
          </w:p>
          <w:p w14:paraId="0D7AB16E">
            <w:pPr>
              <w:pStyle w:val="32"/>
              <w:spacing w:line="240" w:lineRule="auto"/>
              <w:ind w:firstLine="0"/>
              <w:rPr>
                <w:rFonts w:hint="default" w:ascii="Calibri" w:hAnsi="Calibri"/>
                <w:snapToGrid/>
                <w:sz w:val="20"/>
                <w:szCs w:val="20"/>
              </w:rPr>
            </w:pPr>
            <w:r>
              <w:rPr>
                <w:rFonts w:ascii="Calibri" w:hAnsi="Calibri"/>
                <w:snapToGrid/>
                <w:sz w:val="20"/>
                <w:szCs w:val="20"/>
              </w:rPr>
              <w:t>（3）供货质量保证措施简单，仅约定基础到货验收要求，未对新生儿呼吸机核心医用部件制定专项质控；总体管理安排内容笼统，设备供货周期、安装调试流程存在疏漏；特殊情况处理机制仅提及少量场景，处置办法缺乏实操性，方案简单，可操作性不够，不能完全满足采购需求，得 1 分；</w:t>
            </w:r>
          </w:p>
          <w:p w14:paraId="20D65B4F">
            <w:pPr>
              <w:pStyle w:val="32"/>
              <w:spacing w:line="240" w:lineRule="auto"/>
              <w:ind w:firstLine="0"/>
              <w:rPr>
                <w:rFonts w:hint="default" w:ascii="Calibri" w:hAnsi="Calibri"/>
                <w:snapToGrid/>
                <w:sz w:val="20"/>
                <w:szCs w:val="20"/>
                <w:lang w:eastAsia="zh-Hans"/>
              </w:rPr>
            </w:pPr>
            <w:r>
              <w:rPr>
                <w:rFonts w:ascii="Calibri" w:hAnsi="Calibri"/>
                <w:snapToGrid/>
                <w:sz w:val="20"/>
                <w:szCs w:val="20"/>
              </w:rPr>
              <w:t>（4）未提供项目实施技术方案，或方案缺失供货质量保证、总体管理安排、特殊情况处理机制任一核心内容，方案不合理、无法支撑新生儿呼吸机采购项目落地及临床安全使用的，不得分。</w:t>
            </w:r>
          </w:p>
        </w:tc>
      </w:tr>
      <w:tr w14:paraId="0EB34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200B44F1">
            <w:pPr>
              <w:pStyle w:val="25"/>
              <w:jc w:val="center"/>
              <w:rPr>
                <w:rFonts w:hint="default"/>
              </w:rPr>
            </w:pPr>
            <w:r>
              <w:t>商务部分</w:t>
            </w:r>
          </w:p>
        </w:tc>
        <w:tc>
          <w:tcPr>
            <w:tcW w:w="2307" w:type="dxa"/>
          </w:tcPr>
          <w:p w14:paraId="59726682">
            <w:pPr>
              <w:pStyle w:val="25"/>
              <w:rPr>
                <w:rFonts w:hint="default"/>
              </w:rPr>
            </w:pPr>
            <w:r>
              <w:t>保修期限的响应 (</w:t>
            </w:r>
            <w:r>
              <w:rPr>
                <w:rFonts w:hint="eastAsia"/>
                <w:lang w:val="en-US" w:eastAsia="zh-CN"/>
              </w:rPr>
              <w:t>3</w:t>
            </w:r>
            <w:r>
              <w:t>.0分)</w:t>
            </w:r>
          </w:p>
        </w:tc>
        <w:tc>
          <w:tcPr>
            <w:tcW w:w="5076" w:type="dxa"/>
          </w:tcPr>
          <w:p w14:paraId="47624C6B">
            <w:pPr>
              <w:pStyle w:val="25"/>
              <w:rPr>
                <w:rFonts w:hint="default"/>
              </w:rPr>
            </w:pPr>
            <w:r>
              <w:rPr>
                <w:lang w:eastAsia="zh-CN"/>
              </w:rPr>
              <w:t>对各响应供应商的货物保修期限说明进行评审及打分。保修期限符合采购需求，除耗材及易损件外，整机全保3年得0分，在此的基础上，保修期每增加1年得</w:t>
            </w:r>
            <w:r>
              <w:rPr>
                <w:rFonts w:hint="eastAsia"/>
                <w:lang w:val="en-US" w:eastAsia="zh-CN"/>
              </w:rPr>
              <w:t>1</w:t>
            </w:r>
            <w:r>
              <w:rPr>
                <w:lang w:eastAsia="zh-CN"/>
              </w:rPr>
              <w:t>分，最高得</w:t>
            </w:r>
            <w:r>
              <w:rPr>
                <w:rFonts w:hint="eastAsia"/>
                <w:lang w:val="en-US" w:eastAsia="zh-CN"/>
              </w:rPr>
              <w:t>3</w:t>
            </w:r>
            <w:r>
              <w:rPr>
                <w:lang w:eastAsia="zh-CN"/>
              </w:rPr>
              <w:t>分；没有说明不得分。</w:t>
            </w:r>
          </w:p>
        </w:tc>
      </w:tr>
      <w:tr w14:paraId="67B48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ED28531"/>
        </w:tc>
        <w:tc>
          <w:tcPr>
            <w:tcW w:w="2307" w:type="dxa"/>
          </w:tcPr>
          <w:p w14:paraId="4D488328">
            <w:pPr>
              <w:pStyle w:val="25"/>
              <w:rPr>
                <w:rFonts w:hint="default"/>
              </w:rPr>
            </w:pPr>
            <w:r>
              <w:t>服务方案 (</w:t>
            </w:r>
            <w:r>
              <w:rPr>
                <w:lang w:eastAsia="zh-CN"/>
              </w:rPr>
              <w:t>3</w:t>
            </w:r>
            <w:r>
              <w:t>.0分)</w:t>
            </w:r>
          </w:p>
        </w:tc>
        <w:tc>
          <w:tcPr>
            <w:tcW w:w="5076" w:type="dxa"/>
          </w:tcPr>
          <w:p w14:paraId="7EAEA7CF">
            <w:pPr>
              <w:pStyle w:val="25"/>
              <w:rPr>
                <w:rFonts w:hint="default"/>
                <w:lang w:eastAsia="zh-CN"/>
              </w:rPr>
            </w:pPr>
            <w:r>
              <w:rPr>
                <w:lang w:eastAsia="zh-CN"/>
              </w:rPr>
              <w:t>提供详细的服务方案，方案包括质保期、维修保养方案、服务响应时间、零配件供应情况、培训计划内容等，对各方案进行综合评审：</w:t>
            </w:r>
          </w:p>
          <w:p w14:paraId="3F0ACEA6">
            <w:pPr>
              <w:pStyle w:val="25"/>
              <w:rPr>
                <w:rFonts w:hint="default"/>
                <w:lang w:eastAsia="zh-CN"/>
              </w:rPr>
            </w:pPr>
            <w:r>
              <w:rPr>
                <w:lang w:eastAsia="zh-CN"/>
              </w:rPr>
              <w:t>（1）具有完善具体可行的服务方案，质保期承诺优于行业标准；维修保养方案针对新生儿呼吸机氧浓度控制、气道压力监测、报警系统、同步呼吸功能等关键部位制定定期巡检、校准、维护、消毒及院感防控细则；服务响应迅速，明确响应时间、限时到场、应急备用机保障机制；原厂核心零配件储备充足、供应稳定、供货周期短；培训计划全面，覆盖操作使用、日常维护、报警处理、应急处置、院感防控等内容，服务便捷、响应速度快，各阶段服务方案详尽，优于采购人需求，得 3 分；</w:t>
            </w:r>
          </w:p>
          <w:p w14:paraId="6C9EF7F1">
            <w:pPr>
              <w:pStyle w:val="25"/>
              <w:rPr>
                <w:rFonts w:hint="default"/>
                <w:lang w:eastAsia="zh-CN"/>
              </w:rPr>
            </w:pPr>
            <w:r>
              <w:rPr>
                <w:lang w:eastAsia="zh-CN"/>
              </w:rPr>
              <w:t>（2）有提供服务方案，较具体可行，明确合理质保期，维修保养、服务响应、零配件供应、培训计划等内容较完善，服务较便捷、响应及时，各阶段服务方案完善，基本满足采购人需求，得 2 分；</w:t>
            </w:r>
          </w:p>
          <w:p w14:paraId="3044C490">
            <w:pPr>
              <w:pStyle w:val="25"/>
              <w:rPr>
                <w:rFonts w:hint="default"/>
                <w:lang w:eastAsia="zh-CN"/>
              </w:rPr>
            </w:pPr>
            <w:r>
              <w:rPr>
                <w:lang w:eastAsia="zh-CN"/>
              </w:rPr>
              <w:t>（3）有提供服务方案，但不够具体，质保期、维修保养、响应时间、零配件、培训等内容存在缺漏，服务内容及各阶段方案完整性不足，得 1 分；</w:t>
            </w:r>
          </w:p>
          <w:p w14:paraId="3C9F5070">
            <w:pPr>
              <w:pStyle w:val="25"/>
              <w:rPr>
                <w:rFonts w:hint="default"/>
              </w:rPr>
            </w:pPr>
            <w:r>
              <w:rPr>
                <w:lang w:eastAsia="zh-CN"/>
              </w:rPr>
              <w:t>（4）无服务方案或未提供任何服务内容，得 0 分。</w:t>
            </w:r>
          </w:p>
        </w:tc>
      </w:tr>
      <w:tr w14:paraId="7DFBB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DA40BC4"/>
        </w:tc>
        <w:tc>
          <w:tcPr>
            <w:tcW w:w="2307" w:type="dxa"/>
          </w:tcPr>
          <w:p w14:paraId="09F0CF8E">
            <w:pPr>
              <w:pStyle w:val="25"/>
              <w:rPr>
                <w:rFonts w:hint="default"/>
              </w:rPr>
            </w:pPr>
            <w:r>
              <w:rPr>
                <w:lang w:eastAsia="zh-CN"/>
              </w:rPr>
              <w:t>同类业绩(5</w:t>
            </w:r>
            <w:r>
              <w:t>.0分)</w:t>
            </w:r>
          </w:p>
        </w:tc>
        <w:tc>
          <w:tcPr>
            <w:tcW w:w="5076" w:type="dxa"/>
          </w:tcPr>
          <w:p w14:paraId="48F4B137">
            <w:pPr>
              <w:pStyle w:val="25"/>
              <w:rPr>
                <w:rFonts w:hint="default"/>
                <w:lang w:eastAsia="zh-CN"/>
              </w:rPr>
            </w:pPr>
            <w:r>
              <w:rPr>
                <w:rFonts w:hint="default"/>
                <w:lang w:eastAsia="zh-CN"/>
              </w:rPr>
              <w:t>评委会根据响应供应商2023年1月1日至今（以合同签订的日期为准）的同类项目业绩数量进行评分，每提供一个业绩得1分，本项最高得5分。</w:t>
            </w:r>
          </w:p>
          <w:p w14:paraId="698F1795">
            <w:pPr>
              <w:pStyle w:val="25"/>
              <w:rPr>
                <w:rFonts w:hint="default"/>
                <w:lang w:eastAsia="zh-CN"/>
              </w:rPr>
            </w:pPr>
            <w:r>
              <w:rPr>
                <w:rFonts w:hint="default"/>
                <w:lang w:eastAsia="zh-CN"/>
              </w:rPr>
              <w:t>所提供的同类业绩须同时满足以下要求：</w:t>
            </w:r>
          </w:p>
          <w:p w14:paraId="1610B6C2">
            <w:pPr>
              <w:pStyle w:val="25"/>
              <w:rPr>
                <w:rFonts w:hint="default"/>
                <w:lang w:eastAsia="zh-CN"/>
              </w:rPr>
            </w:pPr>
            <w:r>
              <w:rPr>
                <w:rFonts w:hint="default"/>
                <w:lang w:eastAsia="zh-CN"/>
              </w:rPr>
              <w:t>1、合同主体要求：该业绩合同须由响应供应商作为卖方（或供应商/承包方）直接与采购方签订。</w:t>
            </w:r>
          </w:p>
          <w:p w14:paraId="16019835">
            <w:pPr>
              <w:pStyle w:val="25"/>
              <w:rPr>
                <w:rFonts w:hint="default"/>
                <w:lang w:eastAsia="zh-CN"/>
              </w:rPr>
            </w:pPr>
            <w:r>
              <w:rPr>
                <w:rFonts w:hint="default"/>
                <w:lang w:eastAsia="zh-CN"/>
              </w:rPr>
              <w:t>2、项目内容要求：该业绩合同的建设内容或主要标的物须为呼吸机（或包含）；</w:t>
            </w:r>
          </w:p>
          <w:p w14:paraId="64FEA1B7">
            <w:pPr>
              <w:pStyle w:val="25"/>
              <w:rPr>
                <w:rFonts w:hint="default"/>
                <w:lang w:eastAsia="zh-CN"/>
              </w:rPr>
            </w:pPr>
            <w:r>
              <w:rPr>
                <w:rFonts w:hint="default"/>
                <w:lang w:eastAsia="zh-CN"/>
              </w:rPr>
              <w:t>证明材料：投标人须提供业绩合同的关键页复印件（至少包括合同封面、显示合同双方、项目名称、主要标的、合同金额及签订日期的页面、签字盖章页）。</w:t>
            </w:r>
          </w:p>
        </w:tc>
      </w:tr>
      <w:tr w14:paraId="3817A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C259CE7"/>
        </w:tc>
        <w:tc>
          <w:tcPr>
            <w:tcW w:w="2307" w:type="dxa"/>
          </w:tcPr>
          <w:p w14:paraId="1146F60A">
            <w:pPr>
              <w:pStyle w:val="32"/>
              <w:spacing w:line="240" w:lineRule="auto"/>
              <w:ind w:firstLine="0"/>
              <w:rPr>
                <w:rFonts w:hint="default" w:ascii="Calibri" w:hAnsi="Calibri"/>
                <w:snapToGrid/>
                <w:sz w:val="20"/>
                <w:szCs w:val="20"/>
              </w:rPr>
            </w:pPr>
            <w:r>
              <w:rPr>
                <w:rFonts w:ascii="Calibri" w:hAnsi="Calibri"/>
                <w:snapToGrid/>
                <w:sz w:val="20"/>
                <w:szCs w:val="20"/>
              </w:rPr>
              <w:t>商务条款的响应程度(</w:t>
            </w:r>
            <w:r>
              <w:rPr>
                <w:rFonts w:hint="eastAsia" w:ascii="Calibri" w:hAnsi="Calibri"/>
                <w:snapToGrid/>
                <w:sz w:val="20"/>
                <w:szCs w:val="20"/>
                <w:lang w:val="en-US" w:eastAsia="zh-CN"/>
              </w:rPr>
              <w:t>4</w:t>
            </w:r>
            <w:r>
              <w:rPr>
                <w:rFonts w:ascii="Calibri" w:hAnsi="Calibri"/>
                <w:snapToGrid/>
                <w:sz w:val="20"/>
                <w:szCs w:val="20"/>
              </w:rPr>
              <w:t>.0分)</w:t>
            </w:r>
          </w:p>
        </w:tc>
        <w:tc>
          <w:tcPr>
            <w:tcW w:w="5076" w:type="dxa"/>
          </w:tcPr>
          <w:p w14:paraId="2B6F4F49">
            <w:pPr>
              <w:pStyle w:val="32"/>
              <w:spacing w:line="240" w:lineRule="auto"/>
              <w:ind w:firstLine="0"/>
              <w:rPr>
                <w:rFonts w:hint="default" w:ascii="Calibri" w:hAnsi="Calibri"/>
                <w:snapToGrid/>
                <w:sz w:val="20"/>
                <w:szCs w:val="20"/>
                <w:lang w:eastAsia="zh-Hans"/>
              </w:rPr>
            </w:pPr>
            <w:r>
              <w:rPr>
                <w:rFonts w:ascii="Calibri" w:hAnsi="Calibri"/>
                <w:snapToGrid/>
                <w:sz w:val="20"/>
                <w:szCs w:val="20"/>
              </w:rPr>
              <w:t>完全响应其他商务需求（★条款除外）的得</w:t>
            </w:r>
            <w:r>
              <w:rPr>
                <w:rFonts w:hint="eastAsia" w:ascii="Calibri" w:hAnsi="Calibri"/>
                <w:snapToGrid/>
                <w:sz w:val="20"/>
                <w:szCs w:val="20"/>
                <w:lang w:val="en-US" w:eastAsia="zh-CN"/>
              </w:rPr>
              <w:t>4</w:t>
            </w:r>
            <w:r>
              <w:rPr>
                <w:rFonts w:ascii="Calibri" w:hAnsi="Calibri"/>
                <w:snapToGrid/>
                <w:sz w:val="20"/>
                <w:szCs w:val="20"/>
              </w:rPr>
              <w:t>分；有1项不满足扣0.</w:t>
            </w:r>
            <w:r>
              <w:rPr>
                <w:rFonts w:hint="eastAsia" w:ascii="Calibri" w:hAnsi="Calibri"/>
                <w:snapToGrid/>
                <w:sz w:val="20"/>
                <w:szCs w:val="20"/>
                <w:lang w:val="en-US" w:eastAsia="zh-CN"/>
              </w:rPr>
              <w:t>4</w:t>
            </w:r>
            <w:r>
              <w:rPr>
                <w:rFonts w:ascii="Calibri" w:hAnsi="Calibri"/>
                <w:snapToGrid/>
                <w:sz w:val="20"/>
                <w:szCs w:val="20"/>
              </w:rPr>
              <w:t>分，当达到10项或以上负偏离，视为严重偏离不得分。</w:t>
            </w:r>
          </w:p>
        </w:tc>
      </w:tr>
      <w:tr w14:paraId="3048B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3F7F31F">
            <w:pPr>
              <w:pStyle w:val="25"/>
              <w:jc w:val="center"/>
              <w:rPr>
                <w:rFonts w:hint="default"/>
              </w:rPr>
            </w:pPr>
            <w:r>
              <w:t>投标报价</w:t>
            </w:r>
          </w:p>
        </w:tc>
        <w:tc>
          <w:tcPr>
            <w:tcW w:w="2307" w:type="dxa"/>
          </w:tcPr>
          <w:p w14:paraId="68503EBD">
            <w:pPr>
              <w:pStyle w:val="25"/>
              <w:rPr>
                <w:rFonts w:hint="default"/>
              </w:rPr>
            </w:pPr>
            <w:r>
              <w:t>投标报价得分 (3</w:t>
            </w:r>
            <w:r>
              <w:rPr>
                <w:rFonts w:hint="eastAsia"/>
                <w:lang w:val="en-US" w:eastAsia="zh-CN"/>
              </w:rPr>
              <w:t>5</w:t>
            </w:r>
            <w:r>
              <w:t>.0分)</w:t>
            </w:r>
          </w:p>
        </w:tc>
        <w:tc>
          <w:tcPr>
            <w:tcW w:w="5076" w:type="dxa"/>
          </w:tcPr>
          <w:p w14:paraId="77931EB8">
            <w:pPr>
              <w:pStyle w:val="25"/>
              <w:rPr>
                <w:rFonts w:hint="default"/>
              </w:rPr>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33611918">
      <w:pPr>
        <w:pStyle w:val="25"/>
        <w:outlineLvl w:val="3"/>
        <w:rPr>
          <w:rFonts w:hint="default"/>
          <w:b/>
          <w:sz w:val="24"/>
        </w:rPr>
      </w:pPr>
    </w:p>
    <w:p w14:paraId="6B886781">
      <w:pPr>
        <w:pStyle w:val="25"/>
        <w:outlineLvl w:val="3"/>
        <w:rPr>
          <w:rFonts w:hint="default"/>
          <w:b/>
          <w:sz w:val="24"/>
        </w:rPr>
      </w:pPr>
      <w:r>
        <w:rPr>
          <w:b/>
          <w:sz w:val="24"/>
        </w:rPr>
        <w:t>采购包2（</w:t>
      </w:r>
      <w:r>
        <w:rPr>
          <w:b/>
          <w:sz w:val="24"/>
          <w:lang w:eastAsia="zh-CN"/>
        </w:rPr>
        <w:t>婴儿培养箱采购项目</w:t>
      </w:r>
      <w:r>
        <w:rPr>
          <w:b/>
          <w:sz w:val="24"/>
        </w:rPr>
        <w:t>）</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033A5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652A2304">
            <w:pPr>
              <w:pStyle w:val="25"/>
              <w:jc w:val="center"/>
              <w:rPr>
                <w:rFonts w:hint="default"/>
              </w:rPr>
            </w:pPr>
            <w:r>
              <w:t>评审因素</w:t>
            </w:r>
          </w:p>
        </w:tc>
        <w:tc>
          <w:tcPr>
            <w:tcW w:w="7383" w:type="dxa"/>
            <w:gridSpan w:val="2"/>
          </w:tcPr>
          <w:p w14:paraId="76A6CEDB">
            <w:pPr>
              <w:pStyle w:val="25"/>
              <w:jc w:val="center"/>
              <w:rPr>
                <w:rFonts w:hint="default"/>
              </w:rPr>
            </w:pPr>
            <w:r>
              <w:t>评审标准</w:t>
            </w:r>
          </w:p>
        </w:tc>
      </w:tr>
      <w:tr w14:paraId="22717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D4D8971">
            <w:pPr>
              <w:pStyle w:val="25"/>
              <w:jc w:val="center"/>
              <w:rPr>
                <w:rFonts w:hint="default"/>
              </w:rPr>
            </w:pPr>
            <w:r>
              <w:t>分值构成</w:t>
            </w:r>
          </w:p>
        </w:tc>
        <w:tc>
          <w:tcPr>
            <w:tcW w:w="7383" w:type="dxa"/>
            <w:gridSpan w:val="2"/>
          </w:tcPr>
          <w:p w14:paraId="2EE774A2">
            <w:pPr>
              <w:pStyle w:val="25"/>
              <w:rPr>
                <w:rFonts w:hint="default"/>
              </w:rPr>
            </w:pPr>
            <w:r>
              <w:t>商务部分2</w:t>
            </w:r>
            <w:r>
              <w:rPr>
                <w:rFonts w:hint="eastAsia"/>
                <w:lang w:val="en-US" w:eastAsia="zh-CN"/>
              </w:rPr>
              <w:t>0</w:t>
            </w:r>
            <w:r>
              <w:t>.0分</w:t>
            </w:r>
          </w:p>
          <w:p w14:paraId="79326BE6">
            <w:pPr>
              <w:pStyle w:val="25"/>
              <w:rPr>
                <w:rFonts w:hint="default"/>
              </w:rPr>
            </w:pPr>
            <w:r>
              <w:t>技术部分</w:t>
            </w:r>
            <w:r>
              <w:rPr>
                <w:lang w:eastAsia="zh-CN"/>
              </w:rPr>
              <w:t>4</w:t>
            </w:r>
            <w:r>
              <w:rPr>
                <w:rFonts w:hint="eastAsia"/>
                <w:lang w:val="en-US" w:eastAsia="zh-CN"/>
              </w:rPr>
              <w:t>5</w:t>
            </w:r>
            <w:r>
              <w:t>.0分</w:t>
            </w:r>
          </w:p>
          <w:p w14:paraId="45AE2B37">
            <w:pPr>
              <w:pStyle w:val="25"/>
              <w:rPr>
                <w:rFonts w:hint="default"/>
              </w:rPr>
            </w:pPr>
            <w:r>
              <w:t>报价得分3</w:t>
            </w:r>
            <w:r>
              <w:rPr>
                <w:rFonts w:hint="eastAsia"/>
                <w:lang w:val="en-US" w:eastAsia="zh-CN"/>
              </w:rPr>
              <w:t>5</w:t>
            </w:r>
            <w:r>
              <w:t>.0分</w:t>
            </w:r>
          </w:p>
        </w:tc>
      </w:tr>
      <w:tr w14:paraId="4316C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5E848619">
            <w:pPr>
              <w:pStyle w:val="25"/>
              <w:jc w:val="center"/>
              <w:rPr>
                <w:rFonts w:hint="default"/>
              </w:rPr>
            </w:pPr>
            <w:r>
              <w:t>技术部分</w:t>
            </w:r>
          </w:p>
        </w:tc>
        <w:tc>
          <w:tcPr>
            <w:tcW w:w="2307" w:type="dxa"/>
          </w:tcPr>
          <w:p w14:paraId="2B032062">
            <w:pPr>
              <w:pStyle w:val="25"/>
              <w:rPr>
                <w:rFonts w:hint="default"/>
              </w:rPr>
            </w:pPr>
            <w:r>
              <w:t>所投货物对技术参数要求中带▲号的重要参数的符合性 (</w:t>
            </w:r>
            <w:r>
              <w:rPr>
                <w:lang w:eastAsia="zh-CN"/>
              </w:rPr>
              <w:t>15</w:t>
            </w:r>
            <w:r>
              <w:t>.0分)</w:t>
            </w:r>
          </w:p>
        </w:tc>
        <w:tc>
          <w:tcPr>
            <w:tcW w:w="5076" w:type="dxa"/>
          </w:tcPr>
          <w:p w14:paraId="313B22FD">
            <w:pPr>
              <w:pStyle w:val="32"/>
              <w:spacing w:line="240" w:lineRule="auto"/>
              <w:ind w:firstLine="0"/>
              <w:rPr>
                <w:rFonts w:hint="default" w:ascii="Calibri" w:hAnsi="Calibri"/>
                <w:snapToGrid/>
                <w:sz w:val="20"/>
                <w:szCs w:val="20"/>
                <w:lang w:eastAsia="zh-Hans"/>
              </w:rPr>
            </w:pPr>
            <w:r>
              <w:rPr>
                <w:rFonts w:ascii="Calibri" w:hAnsi="Calibri"/>
                <w:snapToGrid/>
                <w:sz w:val="20"/>
                <w:szCs w:val="20"/>
              </w:rPr>
              <w:t>所投产品技术参数要求中带▲的重要参数共有3项，有1项带▲号的条款负偏离，扣5分；以此类推，该项最高得15分。 所有响应供应商须提供国家检测机构的检测报告，或原厂出具的详尽的技术参数说明书（技术白皮书）或提供该技术检查结果图片或公开发布的技术彩页等作为技术证明文件，否则评标委员会有权视相应技术参数响应不符合用户需求书要求（如厂家的产品使用说明书为英文版，请同时提供中文版）。</w:t>
            </w:r>
          </w:p>
        </w:tc>
      </w:tr>
      <w:tr w14:paraId="460A5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F5ADF5E"/>
        </w:tc>
        <w:tc>
          <w:tcPr>
            <w:tcW w:w="2307" w:type="dxa"/>
          </w:tcPr>
          <w:p w14:paraId="687906BF">
            <w:pPr>
              <w:pStyle w:val="25"/>
              <w:rPr>
                <w:rFonts w:hint="default"/>
              </w:rPr>
            </w:pPr>
            <w:r>
              <w:t>所投货物技术参数要求 (</w:t>
            </w:r>
            <w:r>
              <w:rPr>
                <w:rFonts w:hint="eastAsia"/>
                <w:lang w:val="en-US" w:eastAsia="zh-CN"/>
              </w:rPr>
              <w:t>24</w:t>
            </w:r>
            <w:r>
              <w:t>.0分)</w:t>
            </w:r>
          </w:p>
        </w:tc>
        <w:tc>
          <w:tcPr>
            <w:tcW w:w="5076" w:type="dxa"/>
          </w:tcPr>
          <w:p w14:paraId="4BCB35C9">
            <w:pPr>
              <w:pStyle w:val="32"/>
              <w:spacing w:line="240" w:lineRule="auto"/>
              <w:ind w:firstLine="0"/>
              <w:rPr>
                <w:rFonts w:hint="default" w:ascii="Calibri" w:hAnsi="Calibri"/>
                <w:snapToGrid/>
                <w:sz w:val="20"/>
                <w:szCs w:val="20"/>
                <w:lang w:eastAsia="zh-Hans"/>
              </w:rPr>
            </w:pPr>
            <w:r>
              <w:rPr>
                <w:rFonts w:ascii="Calibri" w:hAnsi="Calibri"/>
                <w:snapToGrid/>
                <w:sz w:val="20"/>
                <w:szCs w:val="20"/>
                <w:lang w:eastAsia="zh-Hans"/>
              </w:rPr>
              <w:t>未标注“▲”和“★”符号的一般技术参数共</w:t>
            </w:r>
            <w:r>
              <w:rPr>
                <w:rFonts w:ascii="Calibri" w:hAnsi="Calibri"/>
                <w:snapToGrid/>
                <w:sz w:val="20"/>
                <w:szCs w:val="20"/>
              </w:rPr>
              <w:t>2</w:t>
            </w:r>
            <w:r>
              <w:rPr>
                <w:rFonts w:ascii="Calibri" w:hAnsi="Calibri"/>
                <w:snapToGrid/>
                <w:sz w:val="20"/>
                <w:szCs w:val="20"/>
                <w:lang w:eastAsia="zh-Hans"/>
              </w:rPr>
              <w:t>4项，有1项一般技术参数负偏离，扣</w:t>
            </w:r>
            <w:r>
              <w:rPr>
                <w:rFonts w:hint="eastAsia" w:ascii="Calibri" w:hAnsi="Calibri"/>
                <w:snapToGrid/>
                <w:sz w:val="20"/>
                <w:szCs w:val="20"/>
                <w:lang w:val="en-US" w:eastAsia="zh-CN"/>
              </w:rPr>
              <w:t>1</w:t>
            </w:r>
            <w:r>
              <w:rPr>
                <w:rFonts w:ascii="Calibri" w:hAnsi="Calibri"/>
                <w:snapToGrid/>
                <w:sz w:val="20"/>
                <w:szCs w:val="20"/>
                <w:lang w:eastAsia="zh-Hans"/>
              </w:rPr>
              <w:t>分；以此类推，该项最高得</w:t>
            </w:r>
            <w:r>
              <w:rPr>
                <w:rFonts w:hint="eastAsia" w:ascii="Calibri" w:hAnsi="Calibri"/>
                <w:snapToGrid/>
                <w:sz w:val="20"/>
                <w:szCs w:val="20"/>
                <w:lang w:val="en-US" w:eastAsia="zh-CN"/>
              </w:rPr>
              <w:t>24</w:t>
            </w:r>
            <w:r>
              <w:rPr>
                <w:rFonts w:ascii="Calibri" w:hAnsi="Calibri"/>
                <w:snapToGrid/>
                <w:sz w:val="20"/>
                <w:szCs w:val="20"/>
                <w:lang w:eastAsia="zh-Hans"/>
              </w:rPr>
              <w:t>分。</w:t>
            </w:r>
          </w:p>
        </w:tc>
      </w:tr>
      <w:tr w14:paraId="64669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CDCCF9A"/>
        </w:tc>
        <w:tc>
          <w:tcPr>
            <w:tcW w:w="2307" w:type="dxa"/>
          </w:tcPr>
          <w:p w14:paraId="62A828E2">
            <w:pPr>
              <w:pStyle w:val="25"/>
              <w:rPr>
                <w:rFonts w:hint="default"/>
              </w:rPr>
            </w:pPr>
            <w:r>
              <w:t>实施技术方案 (</w:t>
            </w:r>
            <w:r>
              <w:rPr>
                <w:rFonts w:hint="eastAsia"/>
                <w:lang w:val="en-US" w:eastAsia="zh-CN"/>
              </w:rPr>
              <w:t>6</w:t>
            </w:r>
            <w:r>
              <w:t>.0分)</w:t>
            </w:r>
          </w:p>
        </w:tc>
        <w:tc>
          <w:tcPr>
            <w:tcW w:w="5076" w:type="dxa"/>
          </w:tcPr>
          <w:p w14:paraId="230EDB2D">
            <w:pPr>
              <w:pStyle w:val="32"/>
              <w:spacing w:line="240" w:lineRule="auto"/>
              <w:ind w:firstLine="0"/>
              <w:rPr>
                <w:rFonts w:hint="default" w:ascii="Calibri" w:hAnsi="Calibri"/>
                <w:snapToGrid/>
                <w:sz w:val="20"/>
                <w:szCs w:val="20"/>
              </w:rPr>
            </w:pPr>
            <w:r>
              <w:rPr>
                <w:rFonts w:ascii="Calibri" w:hAnsi="Calibri"/>
                <w:snapToGrid/>
                <w:sz w:val="20"/>
                <w:szCs w:val="20"/>
              </w:rPr>
              <w:t>根据各响应供应商提供的本项目实施技术方案（包含但不限于供货质量保证、总体管理安排、特殊情况处理机制等）进行评审：</w:t>
            </w:r>
          </w:p>
          <w:p w14:paraId="17C0A23C">
            <w:pPr>
              <w:pStyle w:val="32"/>
              <w:spacing w:line="240" w:lineRule="auto"/>
              <w:ind w:firstLine="0"/>
              <w:rPr>
                <w:rFonts w:hint="default" w:ascii="Calibri" w:hAnsi="Calibri"/>
                <w:snapToGrid/>
                <w:sz w:val="20"/>
                <w:szCs w:val="20"/>
              </w:rPr>
            </w:pPr>
            <w:r>
              <w:rPr>
                <w:rFonts w:ascii="Calibri" w:hAnsi="Calibri"/>
                <w:snapToGrid/>
                <w:sz w:val="20"/>
                <w:szCs w:val="20"/>
              </w:rPr>
              <w:t xml:space="preserve">（1）供货质量保证体系完善，针对婴儿培养箱的核心温控系统、湿度调节模块、报警装置、医用安全材质等制定全链条质控细则，含出厂检测、到货验收、安装调试全环节核验标准及溯源管理机制，符合医用新生儿设备最高安全规范；总体管理安排科学系统，明确项目组织架构、专业技术团队配置、设备供货周期规划、上门安装调试流程、操作培训服务安排等核心内容，贴合医院新生儿科临床使用实际；特殊情况处理机制详实全面，针对设备运输损坏、安装适配偏差、临床使用中突发故障、报警系统异常等各类场景，应急处置流程、责任分工、备用设备调配方案及故障补救措施，方案整体全面、周到、细致，可操作性极强，且核心保障标准与管理要求优于采购需求，得 </w:t>
            </w:r>
            <w:r>
              <w:rPr>
                <w:rFonts w:hint="eastAsia" w:ascii="Calibri" w:hAnsi="Calibri"/>
                <w:snapToGrid/>
                <w:sz w:val="20"/>
                <w:szCs w:val="20"/>
                <w:lang w:val="en-US" w:eastAsia="zh-CN"/>
              </w:rPr>
              <w:t>6</w:t>
            </w:r>
            <w:r>
              <w:rPr>
                <w:rFonts w:ascii="Calibri" w:hAnsi="Calibri"/>
                <w:snapToGrid/>
                <w:sz w:val="20"/>
                <w:szCs w:val="20"/>
              </w:rPr>
              <w:t xml:space="preserve"> 分；</w:t>
            </w:r>
          </w:p>
          <w:p w14:paraId="6FFD1BFE">
            <w:pPr>
              <w:pStyle w:val="32"/>
              <w:spacing w:line="240" w:lineRule="auto"/>
              <w:ind w:firstLine="0"/>
              <w:rPr>
                <w:rFonts w:hint="default" w:ascii="Calibri" w:hAnsi="Calibri"/>
                <w:snapToGrid/>
                <w:sz w:val="20"/>
                <w:szCs w:val="20"/>
              </w:rPr>
            </w:pPr>
            <w:r>
              <w:rPr>
                <w:rFonts w:ascii="Calibri" w:hAnsi="Calibri"/>
                <w:snapToGrid/>
                <w:sz w:val="20"/>
                <w:szCs w:val="20"/>
              </w:rPr>
              <w:t xml:space="preserve">（2）供货质量保证措施明确，针对婴儿培养箱核心部件制定验收标准，能满足医用设备质量及临床安全使用要求；总体管理安排清晰，具备完善的组织架构、专业技术人员配置及基础的供货、安装、培训服务流程，可支撑医院新生儿科设备正常投入使用；特殊情况处理机制覆盖设备故障、运输损坏等核心突发场景，有明确的处置时限和基础解决办法，方案基本可行，具有实际可操作性，能全面满足采购需求，得 </w:t>
            </w:r>
            <w:r>
              <w:rPr>
                <w:rFonts w:hint="eastAsia" w:ascii="Calibri" w:hAnsi="Calibri"/>
                <w:snapToGrid/>
                <w:sz w:val="20"/>
                <w:szCs w:val="20"/>
                <w:lang w:val="en-US" w:eastAsia="zh-CN"/>
              </w:rPr>
              <w:t>4</w:t>
            </w:r>
            <w:r>
              <w:rPr>
                <w:rFonts w:ascii="Calibri" w:hAnsi="Calibri"/>
                <w:snapToGrid/>
                <w:sz w:val="20"/>
                <w:szCs w:val="20"/>
              </w:rPr>
              <w:t xml:space="preserve"> 分；</w:t>
            </w:r>
          </w:p>
          <w:p w14:paraId="0846AA45">
            <w:pPr>
              <w:pStyle w:val="32"/>
              <w:spacing w:line="240" w:lineRule="auto"/>
              <w:ind w:firstLine="0"/>
              <w:rPr>
                <w:rFonts w:hint="default" w:ascii="Calibri" w:hAnsi="Calibri"/>
                <w:snapToGrid/>
                <w:sz w:val="20"/>
                <w:szCs w:val="20"/>
              </w:rPr>
            </w:pPr>
            <w:r>
              <w:rPr>
                <w:rFonts w:ascii="Calibri" w:hAnsi="Calibri"/>
                <w:snapToGrid/>
                <w:sz w:val="20"/>
                <w:szCs w:val="20"/>
              </w:rPr>
              <w:t xml:space="preserve">（3）供货质量保证措施较简单，仅约定基础到货验收要求，未对核心部件制定专项质控流程；总体管理安排内容笼统，设备供货周期、安装调试流程或操作培训安排存在疏漏，仅能满足项目基础实施要求；特殊情况处理机制仅提及少量突发场景，未明确应急处置时限及备用设备保障，处置办法缺乏实操性，方案整体简单，可操作性不够，不能完全满足采购需求，得 </w:t>
            </w:r>
            <w:r>
              <w:rPr>
                <w:rFonts w:hint="eastAsia" w:ascii="Calibri" w:hAnsi="Calibri"/>
                <w:snapToGrid/>
                <w:sz w:val="20"/>
                <w:szCs w:val="20"/>
                <w:lang w:val="en-US" w:eastAsia="zh-CN"/>
              </w:rPr>
              <w:t>2</w:t>
            </w:r>
            <w:r>
              <w:rPr>
                <w:rFonts w:ascii="Calibri" w:hAnsi="Calibri"/>
                <w:snapToGrid/>
                <w:sz w:val="20"/>
                <w:szCs w:val="20"/>
              </w:rPr>
              <w:t xml:space="preserve"> 分；</w:t>
            </w:r>
          </w:p>
          <w:p w14:paraId="68146BC9">
            <w:pPr>
              <w:pStyle w:val="32"/>
              <w:spacing w:line="240" w:lineRule="auto"/>
              <w:ind w:firstLine="0"/>
              <w:rPr>
                <w:rFonts w:hint="default" w:ascii="Calibri" w:hAnsi="Calibri"/>
                <w:snapToGrid/>
                <w:sz w:val="20"/>
                <w:szCs w:val="20"/>
                <w:lang w:eastAsia="zh-Hans"/>
              </w:rPr>
            </w:pPr>
            <w:r>
              <w:rPr>
                <w:rFonts w:ascii="Calibri" w:hAnsi="Calibri"/>
                <w:snapToGrid/>
                <w:sz w:val="20"/>
                <w:szCs w:val="20"/>
              </w:rPr>
              <w:t>（4）未提供项目实施技术方案，或方案缺失供货质量保证、总体管理安排、特殊情况处理机制任一核心内容，方案制定不合理、无法支撑婴儿培养箱采购项目落地实施及临床安全使用的，不得分。</w:t>
            </w:r>
          </w:p>
        </w:tc>
      </w:tr>
      <w:tr w14:paraId="62020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5E96E61B">
            <w:pPr>
              <w:pStyle w:val="25"/>
              <w:jc w:val="center"/>
              <w:rPr>
                <w:rFonts w:hint="default"/>
              </w:rPr>
            </w:pPr>
            <w:r>
              <w:t>商务部分</w:t>
            </w:r>
          </w:p>
        </w:tc>
        <w:tc>
          <w:tcPr>
            <w:tcW w:w="2307" w:type="dxa"/>
          </w:tcPr>
          <w:p w14:paraId="4BC712D4">
            <w:pPr>
              <w:pStyle w:val="25"/>
              <w:rPr>
                <w:rFonts w:hint="default"/>
              </w:rPr>
            </w:pPr>
            <w:r>
              <w:t>保修期限的响应 (</w:t>
            </w:r>
            <w:r>
              <w:rPr>
                <w:rFonts w:hint="eastAsia"/>
                <w:lang w:val="en-US" w:eastAsia="zh-CN"/>
              </w:rPr>
              <w:t>3</w:t>
            </w:r>
            <w:r>
              <w:t>.0分)</w:t>
            </w:r>
          </w:p>
        </w:tc>
        <w:tc>
          <w:tcPr>
            <w:tcW w:w="5076" w:type="dxa"/>
          </w:tcPr>
          <w:p w14:paraId="6B98F365">
            <w:pPr>
              <w:pStyle w:val="25"/>
              <w:rPr>
                <w:rFonts w:hint="default"/>
              </w:rPr>
            </w:pPr>
            <w:r>
              <w:rPr>
                <w:lang w:eastAsia="zh-CN"/>
              </w:rPr>
              <w:t>对各响应供应商的货物保修期限说明进行评审及打分。保修期限符合采购需求，除耗材及易损件外，整机全保3年得0分，在此的基础上，保修期每增加1年得</w:t>
            </w:r>
            <w:r>
              <w:rPr>
                <w:rFonts w:hint="eastAsia"/>
                <w:lang w:val="en-US" w:eastAsia="zh-CN"/>
              </w:rPr>
              <w:t>1</w:t>
            </w:r>
            <w:r>
              <w:rPr>
                <w:lang w:eastAsia="zh-CN"/>
              </w:rPr>
              <w:t>分，最高得</w:t>
            </w:r>
            <w:r>
              <w:rPr>
                <w:rFonts w:hint="eastAsia"/>
                <w:lang w:val="en-US" w:eastAsia="zh-CN"/>
              </w:rPr>
              <w:t>3</w:t>
            </w:r>
            <w:r>
              <w:rPr>
                <w:lang w:eastAsia="zh-CN"/>
              </w:rPr>
              <w:t>分；没有说明不得分。</w:t>
            </w:r>
          </w:p>
        </w:tc>
      </w:tr>
      <w:tr w14:paraId="26806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034440B"/>
        </w:tc>
        <w:tc>
          <w:tcPr>
            <w:tcW w:w="2307" w:type="dxa"/>
          </w:tcPr>
          <w:p w14:paraId="38EA811A">
            <w:pPr>
              <w:pStyle w:val="25"/>
              <w:rPr>
                <w:rFonts w:hint="default"/>
              </w:rPr>
            </w:pPr>
            <w:r>
              <w:t>服务方案 (</w:t>
            </w:r>
            <w:r>
              <w:rPr>
                <w:lang w:eastAsia="zh-CN"/>
              </w:rPr>
              <w:t>7</w:t>
            </w:r>
            <w:r>
              <w:t>.0分)</w:t>
            </w:r>
          </w:p>
        </w:tc>
        <w:tc>
          <w:tcPr>
            <w:tcW w:w="5076" w:type="dxa"/>
          </w:tcPr>
          <w:p w14:paraId="3647F2C7">
            <w:pPr>
              <w:pStyle w:val="25"/>
              <w:rPr>
                <w:rFonts w:hint="default"/>
                <w:lang w:eastAsia="zh-CN"/>
              </w:rPr>
            </w:pPr>
            <w:r>
              <w:rPr>
                <w:lang w:eastAsia="zh-CN"/>
              </w:rPr>
              <w:t>提供详细的服务方案，方案包括质保期、维修保养方案、服务响应时间、零配件供应情况、培训计划内容等，对各方案进行综合评审：</w:t>
            </w:r>
          </w:p>
          <w:p w14:paraId="758030BE">
            <w:pPr>
              <w:pStyle w:val="25"/>
              <w:rPr>
                <w:rFonts w:hint="default"/>
                <w:lang w:eastAsia="zh-CN"/>
              </w:rPr>
            </w:pPr>
            <w:r>
              <w:rPr>
                <w:lang w:eastAsia="zh-CN"/>
              </w:rPr>
              <w:t>（1）具有完善具体可行的服务方案，质保期承诺优于行业标准，维修保养方案针对婴儿培养箱温控、湿度、报警、安全防护等关键部分制定定期巡检、校准、维护细则；服务响应迅速，明确电话即时响应、限时到场、备用设备保障机制；零配件储备充足、供应渠道稳定、供货周期短；培训计划全面，含操作使用、日常保养、院感防控等内容，服务便捷、响应速度快，各阶段服务方案详尽，优于采购人需求，得 7 分；</w:t>
            </w:r>
          </w:p>
          <w:p w14:paraId="3921E0BB">
            <w:pPr>
              <w:pStyle w:val="25"/>
              <w:rPr>
                <w:rFonts w:hint="default"/>
                <w:lang w:eastAsia="zh-CN"/>
              </w:rPr>
            </w:pPr>
            <w:r>
              <w:rPr>
                <w:lang w:eastAsia="zh-CN"/>
              </w:rPr>
              <w:t>（2）有提供服务方案，较具体可行，明确合理质保期，维修保养、服务响应、零配件供应、培训计划等内容较完善，服务较便捷、响应及时，各阶段服务方案完善，基本满足采购人需求，得 4 分；</w:t>
            </w:r>
          </w:p>
          <w:p w14:paraId="28BF4827">
            <w:pPr>
              <w:pStyle w:val="25"/>
              <w:rPr>
                <w:rFonts w:hint="default"/>
                <w:lang w:eastAsia="zh-CN"/>
              </w:rPr>
            </w:pPr>
            <w:r>
              <w:rPr>
                <w:lang w:eastAsia="zh-CN"/>
              </w:rPr>
              <w:t>（3）有提供服务方案，但不够具体，质保期、维修保养、响应时间、零配件、培训等内容存在缺漏，服务内容及各阶段方案完整性不足，得 2 分；</w:t>
            </w:r>
          </w:p>
          <w:p w14:paraId="6802454E">
            <w:pPr>
              <w:pStyle w:val="25"/>
              <w:rPr>
                <w:rFonts w:hint="default"/>
              </w:rPr>
            </w:pPr>
            <w:r>
              <w:rPr>
                <w:lang w:eastAsia="zh-CN"/>
              </w:rPr>
              <w:t>（4）无服务方案或未提供任何服务内容，得 0 分。</w:t>
            </w:r>
          </w:p>
        </w:tc>
      </w:tr>
      <w:tr w14:paraId="49650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A97BD80"/>
        </w:tc>
        <w:tc>
          <w:tcPr>
            <w:tcW w:w="2307" w:type="dxa"/>
          </w:tcPr>
          <w:p w14:paraId="6C790D86">
            <w:pPr>
              <w:pStyle w:val="25"/>
              <w:rPr>
                <w:rFonts w:hint="default"/>
              </w:rPr>
            </w:pPr>
            <w:r>
              <w:rPr>
                <w:lang w:eastAsia="zh-CN"/>
              </w:rPr>
              <w:t>同类业绩(5</w:t>
            </w:r>
            <w:r>
              <w:t>.0分)</w:t>
            </w:r>
          </w:p>
        </w:tc>
        <w:tc>
          <w:tcPr>
            <w:tcW w:w="5076" w:type="dxa"/>
          </w:tcPr>
          <w:p w14:paraId="0034784B">
            <w:pPr>
              <w:pStyle w:val="25"/>
              <w:rPr>
                <w:rFonts w:hint="default"/>
                <w:lang w:eastAsia="zh-CN"/>
              </w:rPr>
            </w:pPr>
            <w:r>
              <w:rPr>
                <w:rFonts w:hint="default"/>
                <w:lang w:eastAsia="zh-CN"/>
              </w:rPr>
              <w:t>评委会根据响应供应商2023年1月1日至今（以合同签订的日期为准）的同类项目业绩数量进行评分，每提供一个业绩得1分，本项最高得5分。</w:t>
            </w:r>
          </w:p>
          <w:p w14:paraId="636E2564">
            <w:pPr>
              <w:pStyle w:val="25"/>
              <w:rPr>
                <w:rFonts w:hint="default"/>
                <w:lang w:eastAsia="zh-CN"/>
              </w:rPr>
            </w:pPr>
            <w:r>
              <w:rPr>
                <w:rFonts w:hint="default"/>
                <w:lang w:eastAsia="zh-CN"/>
              </w:rPr>
              <w:t>所提供的同类业绩须同时满足以下要求：</w:t>
            </w:r>
          </w:p>
          <w:p w14:paraId="233D4001">
            <w:pPr>
              <w:pStyle w:val="25"/>
              <w:rPr>
                <w:rFonts w:hint="default"/>
                <w:lang w:eastAsia="zh-CN"/>
              </w:rPr>
            </w:pPr>
            <w:r>
              <w:rPr>
                <w:rFonts w:hint="default"/>
                <w:lang w:eastAsia="zh-CN"/>
              </w:rPr>
              <w:t>1、合同主体要求：该业绩合同须由响应供应商作为卖方（或供应商/承包方）直接与采购方签订。</w:t>
            </w:r>
          </w:p>
          <w:p w14:paraId="6FA9930A">
            <w:pPr>
              <w:pStyle w:val="25"/>
              <w:rPr>
                <w:rFonts w:hint="default"/>
                <w:lang w:eastAsia="zh-CN"/>
              </w:rPr>
            </w:pPr>
            <w:r>
              <w:rPr>
                <w:rFonts w:hint="default"/>
                <w:lang w:eastAsia="zh-CN"/>
              </w:rPr>
              <w:t>2、项目内容要求：该业绩合同的建设内容或主要标的物须为婴儿培养箱（或包含）；</w:t>
            </w:r>
          </w:p>
          <w:p w14:paraId="16A9B990">
            <w:pPr>
              <w:pStyle w:val="25"/>
              <w:rPr>
                <w:rFonts w:hint="default"/>
                <w:lang w:eastAsia="zh-CN"/>
              </w:rPr>
            </w:pPr>
            <w:r>
              <w:rPr>
                <w:rFonts w:hint="default"/>
                <w:lang w:eastAsia="zh-CN"/>
              </w:rPr>
              <w:t>证明材料：投标人须提供业绩合同的关键页复印件（至少包括合同封面、显示合同双方、项目名称、主要标的、合同金额及签订日期的页面、签字盖章页）。</w:t>
            </w:r>
          </w:p>
        </w:tc>
      </w:tr>
      <w:tr w14:paraId="69AE1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67E87C8"/>
        </w:tc>
        <w:tc>
          <w:tcPr>
            <w:tcW w:w="2307" w:type="dxa"/>
          </w:tcPr>
          <w:p w14:paraId="176FA613">
            <w:pPr>
              <w:pStyle w:val="32"/>
              <w:spacing w:line="240" w:lineRule="auto"/>
              <w:ind w:firstLine="0"/>
              <w:rPr>
                <w:rFonts w:hint="default" w:ascii="Calibri" w:hAnsi="Calibri"/>
                <w:snapToGrid/>
                <w:sz w:val="20"/>
                <w:szCs w:val="20"/>
              </w:rPr>
            </w:pPr>
            <w:r>
              <w:rPr>
                <w:rFonts w:ascii="Calibri" w:hAnsi="Calibri"/>
                <w:snapToGrid/>
                <w:sz w:val="20"/>
                <w:szCs w:val="20"/>
              </w:rPr>
              <w:t>商务条款的响应程度(</w:t>
            </w:r>
            <w:r>
              <w:rPr>
                <w:rFonts w:hint="eastAsia" w:ascii="Calibri" w:hAnsi="Calibri"/>
                <w:snapToGrid/>
                <w:sz w:val="20"/>
                <w:szCs w:val="20"/>
                <w:lang w:val="en-US" w:eastAsia="zh-CN"/>
              </w:rPr>
              <w:t>5</w:t>
            </w:r>
            <w:r>
              <w:rPr>
                <w:rFonts w:ascii="Calibri" w:hAnsi="Calibri"/>
                <w:snapToGrid/>
                <w:sz w:val="20"/>
                <w:szCs w:val="20"/>
              </w:rPr>
              <w:t>.0分)</w:t>
            </w:r>
          </w:p>
        </w:tc>
        <w:tc>
          <w:tcPr>
            <w:tcW w:w="5076" w:type="dxa"/>
          </w:tcPr>
          <w:p w14:paraId="23E758E5">
            <w:pPr>
              <w:pStyle w:val="32"/>
              <w:spacing w:line="240" w:lineRule="auto"/>
              <w:ind w:firstLine="0"/>
              <w:rPr>
                <w:rFonts w:hint="default" w:ascii="Calibri" w:hAnsi="Calibri"/>
                <w:snapToGrid/>
                <w:sz w:val="20"/>
                <w:szCs w:val="20"/>
                <w:lang w:eastAsia="zh-Hans"/>
              </w:rPr>
            </w:pPr>
            <w:r>
              <w:rPr>
                <w:rFonts w:ascii="Calibri" w:hAnsi="Calibri"/>
                <w:snapToGrid/>
                <w:sz w:val="20"/>
                <w:szCs w:val="20"/>
              </w:rPr>
              <w:t>完全响应其他商务需求（★条款除外）的得</w:t>
            </w:r>
            <w:r>
              <w:rPr>
                <w:rFonts w:hint="eastAsia" w:ascii="Calibri" w:hAnsi="Calibri"/>
                <w:snapToGrid/>
                <w:sz w:val="20"/>
                <w:szCs w:val="20"/>
                <w:lang w:val="en-US" w:eastAsia="zh-CN"/>
              </w:rPr>
              <w:t>5</w:t>
            </w:r>
            <w:r>
              <w:rPr>
                <w:rFonts w:ascii="Calibri" w:hAnsi="Calibri"/>
                <w:snapToGrid/>
                <w:sz w:val="20"/>
                <w:szCs w:val="20"/>
              </w:rPr>
              <w:t>分；有1项不满足扣</w:t>
            </w:r>
            <w:r>
              <w:rPr>
                <w:rFonts w:hint="eastAsia" w:ascii="Calibri" w:hAnsi="Calibri"/>
                <w:snapToGrid/>
                <w:sz w:val="20"/>
                <w:szCs w:val="20"/>
                <w:lang w:val="en-US" w:eastAsia="zh-CN"/>
              </w:rPr>
              <w:t>0.5</w:t>
            </w:r>
            <w:r>
              <w:rPr>
                <w:rFonts w:ascii="Calibri" w:hAnsi="Calibri"/>
                <w:snapToGrid/>
                <w:sz w:val="20"/>
                <w:szCs w:val="20"/>
              </w:rPr>
              <w:t>分，当达到10项或以上负偏离，视为严重偏离不得分。</w:t>
            </w:r>
          </w:p>
        </w:tc>
      </w:tr>
      <w:tr w14:paraId="4161B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6C39D9F9">
            <w:pPr>
              <w:pStyle w:val="25"/>
              <w:jc w:val="center"/>
              <w:rPr>
                <w:rFonts w:hint="default"/>
              </w:rPr>
            </w:pPr>
            <w:r>
              <w:t>投标报价</w:t>
            </w:r>
          </w:p>
        </w:tc>
        <w:tc>
          <w:tcPr>
            <w:tcW w:w="2307" w:type="dxa"/>
          </w:tcPr>
          <w:p w14:paraId="16BE3D9F">
            <w:pPr>
              <w:pStyle w:val="25"/>
              <w:rPr>
                <w:rFonts w:hint="default"/>
              </w:rPr>
            </w:pPr>
            <w:r>
              <w:t>投标报价得分 (3</w:t>
            </w:r>
            <w:r>
              <w:rPr>
                <w:rFonts w:hint="eastAsia"/>
                <w:lang w:val="en-US" w:eastAsia="zh-CN"/>
              </w:rPr>
              <w:t>5</w:t>
            </w:r>
            <w:r>
              <w:t>.0分)</w:t>
            </w:r>
          </w:p>
        </w:tc>
        <w:tc>
          <w:tcPr>
            <w:tcW w:w="5076" w:type="dxa"/>
          </w:tcPr>
          <w:p w14:paraId="12DE9E1F">
            <w:pPr>
              <w:pStyle w:val="25"/>
              <w:rPr>
                <w:rFonts w:hint="default"/>
              </w:rPr>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545A8ADA">
      <w:pPr>
        <w:pStyle w:val="25"/>
        <w:outlineLvl w:val="3"/>
        <w:rPr>
          <w:rFonts w:hint="default"/>
          <w:b/>
          <w:sz w:val="24"/>
        </w:rPr>
      </w:pPr>
    </w:p>
    <w:p w14:paraId="3F5889B3">
      <w:pPr>
        <w:pStyle w:val="25"/>
        <w:outlineLvl w:val="3"/>
        <w:rPr>
          <w:rFonts w:hint="default"/>
          <w:b/>
          <w:sz w:val="24"/>
        </w:rPr>
      </w:pPr>
    </w:p>
    <w:p w14:paraId="04A71052">
      <w:pPr>
        <w:pStyle w:val="25"/>
        <w:outlineLvl w:val="3"/>
        <w:rPr>
          <w:rFonts w:hint="default"/>
        </w:rPr>
      </w:pPr>
      <w:r>
        <w:rPr>
          <w:b/>
          <w:sz w:val="24"/>
        </w:rPr>
        <w:t>4.汇总、排序</w:t>
      </w:r>
    </w:p>
    <w:p w14:paraId="43A7784C">
      <w:pPr>
        <w:pStyle w:val="25"/>
        <w:ind w:firstLine="400" w:firstLineChars="200"/>
        <w:rPr>
          <w:rFonts w:hint="default"/>
        </w:rPr>
      </w:pPr>
      <w:r>
        <w:t>评标结果按评审后总得分由高到低顺序排列。总得分相同的按投标报价由低到高顺序排列。得分且投标报价相同的，由</w:t>
      </w:r>
      <w:r>
        <w:rPr>
          <w:lang w:eastAsia="zh-CN"/>
        </w:rPr>
        <w:t>评标委员会</w:t>
      </w:r>
      <w:r>
        <w:t>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w:t>
      </w:r>
      <w:r>
        <w:rPr>
          <w:lang w:eastAsia="zh-CN"/>
        </w:rPr>
        <w:t>中标人</w:t>
      </w:r>
      <w:r>
        <w:t>推荐资格；评审得分相同的，由采购人或者采购人委托评标委员会采取随机抽取方式确定，其他同品牌投标人不作为中标候选人）。</w:t>
      </w:r>
    </w:p>
    <w:p w14:paraId="58BE069C">
      <w:pPr>
        <w:pStyle w:val="25"/>
        <w:outlineLvl w:val="3"/>
        <w:rPr>
          <w:rFonts w:hint="default"/>
          <w:b/>
          <w:sz w:val="24"/>
          <w:lang w:eastAsia="zh-CN"/>
        </w:rPr>
      </w:pPr>
    </w:p>
    <w:p w14:paraId="58434E1F">
      <w:pPr>
        <w:pStyle w:val="25"/>
        <w:outlineLvl w:val="3"/>
        <w:rPr>
          <w:rFonts w:hint="default"/>
          <w:b/>
          <w:sz w:val="24"/>
          <w:lang w:eastAsia="zh-CN"/>
        </w:rPr>
      </w:pPr>
      <w:r>
        <w:rPr>
          <w:b/>
          <w:sz w:val="24"/>
          <w:lang w:eastAsia="zh-CN"/>
        </w:rPr>
        <w:t>5.评标结果</w:t>
      </w:r>
    </w:p>
    <w:p w14:paraId="278B972A">
      <w:pPr>
        <w:pStyle w:val="25"/>
        <w:ind w:firstLine="400" w:firstLineChars="200"/>
        <w:rPr>
          <w:rFonts w:hint="eastAsia"/>
          <w:lang w:eastAsia="zh-CN"/>
        </w:rPr>
      </w:pPr>
      <w:r>
        <w:rPr>
          <w:lang w:eastAsia="zh-CN"/>
        </w:rPr>
        <w:t>5.1采用“定量评审”方式推荐中标候选人的，</w:t>
      </w:r>
      <w:r>
        <w:rPr>
          <w:rFonts w:hint="eastAsia"/>
          <w:lang w:eastAsia="zh-CN"/>
        </w:rPr>
        <w:t>评标委员会根据最终评审的结果，推荐综合得分排名前3-前5的投标人为中标候选人，若有效参与评审的投标人数量&gt;6，则最终推选前5名中标候选人名单给采购人;若有效参与评审的投标人数量=5，则最终推选前4名中标候选人名单给采购人;若有效参与评审的投标人数量≤4，则最终推选前3名中标候选人名单给采购人。评标委员按照评审标准在评标报告中推荐排名前三-前五的投标人为中标候选人，并在评标报告上签字，对自己的评审意见承担法律责任。综合得分相同的，按投标报价由低到高顺序排列确定中标候选人。综合得分且投标报价相同的并列。</w:t>
      </w:r>
    </w:p>
    <w:p w14:paraId="4B2F2E6C">
      <w:pPr>
        <w:pStyle w:val="25"/>
        <w:ind w:firstLine="400" w:firstLineChars="200"/>
        <w:rPr>
          <w:rFonts w:hint="default"/>
          <w:b w:val="0"/>
          <w:bCs w:val="0"/>
          <w:lang w:eastAsia="zh-CN"/>
        </w:rPr>
      </w:pPr>
      <w:r>
        <w:rPr>
          <w:rFonts w:hint="default"/>
          <w:b w:val="0"/>
          <w:bCs w:val="0"/>
          <w:lang w:eastAsia="zh-CN"/>
        </w:rPr>
        <w:t>中标候选人并列的，招标人可委托评标委员会按下列顺序比较确定中标人:(1)技术评分(由高到低);(2)节能产品:(3)环保产品。如以上都相同的，名次由招标人采取随机抽取方式确定。</w:t>
      </w:r>
    </w:p>
    <w:p w14:paraId="57D6057D">
      <w:pPr>
        <w:pStyle w:val="25"/>
        <w:ind w:firstLine="400" w:firstLineChars="200"/>
        <w:rPr>
          <w:rFonts w:hint="default"/>
          <w:lang w:eastAsia="zh-CN"/>
        </w:rPr>
      </w:pPr>
      <w:r>
        <w:rPr>
          <w:lang w:eastAsia="zh-CN"/>
        </w:rPr>
        <w:t>5.2评标委员会完成评标后，应当提交书面评标报告，评标报告应对所有中标候选人递交的投标文件的定标因素汇总列表。</w:t>
      </w:r>
    </w:p>
    <w:p w14:paraId="337C7103">
      <w:pPr>
        <w:pStyle w:val="25"/>
        <w:outlineLvl w:val="3"/>
        <w:rPr>
          <w:rFonts w:hint="default"/>
          <w:b/>
          <w:sz w:val="24"/>
        </w:rPr>
      </w:pPr>
    </w:p>
    <w:p w14:paraId="67CCF602">
      <w:pPr>
        <w:pStyle w:val="25"/>
        <w:outlineLvl w:val="3"/>
        <w:rPr>
          <w:rFonts w:hint="default"/>
        </w:rPr>
      </w:pPr>
      <w:r>
        <w:rPr>
          <w:b/>
          <w:sz w:val="24"/>
          <w:lang w:eastAsia="zh-CN"/>
        </w:rPr>
        <w:t>6</w:t>
      </w:r>
      <w:r>
        <w:rPr>
          <w:b/>
          <w:sz w:val="24"/>
        </w:rPr>
        <w:t>.中标价的确定</w:t>
      </w:r>
    </w:p>
    <w:p w14:paraId="74FFA1DE">
      <w:pPr>
        <w:pStyle w:val="25"/>
        <w:ind w:firstLine="480"/>
        <w:rPr>
          <w:rFonts w:hint="default"/>
        </w:rPr>
      </w:pPr>
      <w:r>
        <w:t>除了按第四章第一点第7条修正并经投标人确认的投标报价作为中标价外，中标价以开标时公开唱标价为准。</w:t>
      </w:r>
    </w:p>
    <w:p w14:paraId="2B4C7FBC">
      <w:pPr>
        <w:pStyle w:val="25"/>
        <w:outlineLvl w:val="3"/>
        <w:rPr>
          <w:rFonts w:hint="default"/>
        </w:rPr>
      </w:pPr>
      <w:r>
        <w:rPr>
          <w:b/>
          <w:sz w:val="24"/>
          <w:lang w:eastAsia="zh-CN"/>
        </w:rPr>
        <w:t>7</w:t>
      </w:r>
      <w:r>
        <w:rPr>
          <w:b/>
          <w:sz w:val="24"/>
        </w:rPr>
        <w:t>.其他无效投标的情形：</w:t>
      </w:r>
    </w:p>
    <w:p w14:paraId="5A3C87E9">
      <w:pPr>
        <w:pStyle w:val="25"/>
        <w:ind w:firstLine="480"/>
        <w:rPr>
          <w:rFonts w:hint="default"/>
        </w:rPr>
      </w:pPr>
      <w:r>
        <w:t>(1)评标期间，投标人没有按评标委员会的要求提交法定代表人或其委托代理人签字的澄清、说明、补正或改变了投标文件的实质性内容的。</w:t>
      </w:r>
    </w:p>
    <w:p w14:paraId="2A4DFBFA">
      <w:pPr>
        <w:pStyle w:val="25"/>
        <w:ind w:firstLine="480"/>
        <w:rPr>
          <w:rFonts w:hint="default"/>
        </w:rPr>
      </w:pPr>
      <w:r>
        <w:t>(2)投标文件提供虚假材料的。</w:t>
      </w:r>
    </w:p>
    <w:p w14:paraId="24797238">
      <w:pPr>
        <w:pStyle w:val="25"/>
        <w:ind w:firstLine="480"/>
        <w:rPr>
          <w:rFonts w:hint="default"/>
        </w:rPr>
      </w:pPr>
      <w:r>
        <w:t>(3)投标人以他人名义投标、串通投标、以行贿手段谋取中标或者以其他弄虚作假方式投标的。</w:t>
      </w:r>
    </w:p>
    <w:p w14:paraId="346102B1">
      <w:pPr>
        <w:pStyle w:val="25"/>
        <w:ind w:firstLine="480"/>
        <w:rPr>
          <w:rFonts w:hint="default"/>
        </w:rPr>
      </w:pPr>
      <w:r>
        <w:t>(4)投标人对采购人、采购代理机构、评标委员会及其工作人员施加影响，有碍招标公平、公正的。</w:t>
      </w:r>
    </w:p>
    <w:p w14:paraId="55099B69">
      <w:pPr>
        <w:pStyle w:val="25"/>
        <w:ind w:firstLine="480"/>
        <w:rPr>
          <w:rFonts w:hint="default"/>
        </w:rPr>
      </w:pPr>
      <w:r>
        <w:t>(5)投标文件含有采购人不能接受的附加条件的。</w:t>
      </w:r>
    </w:p>
    <w:p w14:paraId="54970091">
      <w:pPr>
        <w:pStyle w:val="25"/>
        <w:ind w:firstLine="480"/>
        <w:rPr>
          <w:rFonts w:hint="default"/>
        </w:rPr>
      </w:pPr>
      <w:r>
        <w:t>(6)法律、法规和招标文件规定的其他无效情形。</w:t>
      </w:r>
    </w:p>
    <w:p w14:paraId="5A54F830">
      <w:pPr>
        <w:pStyle w:val="25"/>
        <w:rPr>
          <w:rFonts w:hint="default"/>
        </w:rPr>
      </w:pPr>
      <w:r>
        <w:t xml:space="preserve">  </w:t>
      </w:r>
    </w:p>
    <w:p w14:paraId="7B7EB27C">
      <w:pPr>
        <w:rPr>
          <w:b/>
          <w:sz w:val="36"/>
        </w:rPr>
      </w:pPr>
      <w:r>
        <w:rPr>
          <w:b/>
          <w:sz w:val="36"/>
        </w:rPr>
        <w:br w:type="page"/>
      </w:r>
    </w:p>
    <w:p w14:paraId="60C00218">
      <w:pPr>
        <w:pStyle w:val="25"/>
        <w:jc w:val="center"/>
        <w:outlineLvl w:val="0"/>
        <w:rPr>
          <w:rFonts w:hint="default"/>
          <w:highlight w:val="yellow"/>
        </w:rPr>
      </w:pPr>
      <w:bookmarkStart w:id="9" w:name="_Toc25013"/>
      <w:r>
        <w:rPr>
          <w:b/>
          <w:sz w:val="36"/>
        </w:rPr>
        <w:t>第五章 合同文本</w:t>
      </w:r>
      <w:bookmarkEnd w:id="9"/>
    </w:p>
    <w:p w14:paraId="7169F911">
      <w:pPr>
        <w:pStyle w:val="2"/>
        <w:rPr>
          <w:rFonts w:ascii="宋体" w:hAnsi="宋体" w:cs="宋体"/>
          <w:sz w:val="20"/>
          <w:lang w:val="zh-CN"/>
        </w:rPr>
      </w:pPr>
    </w:p>
    <w:p w14:paraId="6E4C0301">
      <w:pPr>
        <w:pStyle w:val="25"/>
        <w:spacing w:line="360" w:lineRule="auto"/>
        <w:jc w:val="center"/>
        <w:rPr>
          <w:rFonts w:hint="default" w:ascii="仿宋" w:hAnsi="仿宋" w:eastAsia="仿宋" w:cs="仿宋"/>
          <w:color w:val="000000"/>
          <w:sz w:val="24"/>
          <w:szCs w:val="24"/>
        </w:rPr>
      </w:pPr>
      <w:r>
        <w:rPr>
          <w:b/>
          <w:sz w:val="36"/>
        </w:rPr>
        <w:br w:type="page"/>
      </w:r>
      <w:bookmarkStart w:id="10" w:name="PO_te_合同模板_32_1"/>
      <w:r>
        <w:rPr>
          <w:rFonts w:ascii="仿宋" w:hAnsi="仿宋" w:eastAsia="仿宋" w:cs="仿宋"/>
          <w:b/>
          <w:color w:val="000000"/>
          <w:sz w:val="44"/>
          <w:szCs w:val="44"/>
          <w:lang w:eastAsia="zh-CN"/>
        </w:rPr>
        <w:t>XXX设备</w:t>
      </w:r>
      <w:r>
        <w:rPr>
          <w:rFonts w:ascii="仿宋" w:hAnsi="仿宋" w:eastAsia="仿宋" w:cs="仿宋"/>
          <w:b/>
          <w:color w:val="000000"/>
          <w:sz w:val="44"/>
          <w:szCs w:val="44"/>
        </w:rPr>
        <w:t>采购合同</w:t>
      </w:r>
      <w:r>
        <w:rPr>
          <w:rFonts w:ascii="仿宋" w:hAnsi="仿宋" w:eastAsia="仿宋" w:cs="仿宋"/>
          <w:color w:val="000000"/>
          <w:sz w:val="24"/>
          <w:szCs w:val="24"/>
        </w:rPr>
        <w:t xml:space="preserve">                               </w:t>
      </w:r>
    </w:p>
    <w:p w14:paraId="406F9D95">
      <w:pPr>
        <w:pStyle w:val="25"/>
        <w:spacing w:line="360" w:lineRule="auto"/>
        <w:jc w:val="center"/>
        <w:rPr>
          <w:rFonts w:hint="default" w:ascii="仿宋" w:hAnsi="仿宋" w:eastAsia="仿宋" w:cs="仿宋"/>
          <w:sz w:val="24"/>
          <w:szCs w:val="24"/>
        </w:rPr>
      </w:pPr>
      <w:r>
        <w:rPr>
          <w:rFonts w:ascii="仿宋" w:hAnsi="仿宋" w:eastAsia="仿宋" w:cs="仿宋"/>
          <w:color w:val="000000"/>
          <w:sz w:val="24"/>
          <w:szCs w:val="24"/>
          <w:lang w:eastAsia="zh-CN"/>
        </w:rPr>
        <w:t xml:space="preserve">                            </w:t>
      </w:r>
      <w:r>
        <w:rPr>
          <w:rFonts w:ascii="仿宋" w:hAnsi="仿宋" w:eastAsia="仿宋" w:cs="仿宋"/>
          <w:color w:val="000000"/>
          <w:sz w:val="24"/>
          <w:szCs w:val="24"/>
        </w:rPr>
        <w:t>合同编号</w:t>
      </w:r>
      <w:r>
        <w:rPr>
          <w:rFonts w:ascii="仿宋" w:hAnsi="仿宋" w:eastAsia="仿宋" w:cs="仿宋"/>
          <w:color w:val="000000"/>
          <w:sz w:val="24"/>
          <w:szCs w:val="24"/>
          <w:lang w:eastAsia="zh-CN"/>
        </w:rPr>
        <w:t>：</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5770BB3C">
      <w:pPr>
        <w:pStyle w:val="25"/>
        <w:snapToGrid w:val="0"/>
        <w:spacing w:line="360" w:lineRule="auto"/>
        <w:jc w:val="both"/>
        <w:rPr>
          <w:rFonts w:hint="default" w:ascii="仿宋" w:hAnsi="仿宋" w:eastAsia="仿宋" w:cs="仿宋"/>
          <w:color w:val="000000"/>
          <w:sz w:val="24"/>
          <w:szCs w:val="24"/>
        </w:rPr>
      </w:pPr>
    </w:p>
    <w:p w14:paraId="2B605B13">
      <w:pPr>
        <w:pStyle w:val="25"/>
        <w:spacing w:line="360" w:lineRule="auto"/>
        <w:jc w:val="both"/>
        <w:rPr>
          <w:rFonts w:hint="default" w:ascii="仿宋" w:hAnsi="仿宋" w:eastAsia="仿宋" w:cs="仿宋"/>
          <w:sz w:val="24"/>
          <w:szCs w:val="24"/>
        </w:rPr>
      </w:pPr>
      <w:r>
        <w:rPr>
          <w:rFonts w:ascii="仿宋" w:hAnsi="仿宋" w:eastAsia="仿宋" w:cs="仿宋"/>
          <w:color w:val="000000"/>
          <w:sz w:val="24"/>
          <w:szCs w:val="24"/>
        </w:rPr>
        <w:t>甲方（买方）：惠州市第一人民医院</w:t>
      </w:r>
    </w:p>
    <w:p w14:paraId="4D0D676F">
      <w:pPr>
        <w:pStyle w:val="25"/>
        <w:spacing w:line="360" w:lineRule="auto"/>
        <w:jc w:val="both"/>
        <w:rPr>
          <w:rFonts w:hint="default" w:ascii="仿宋" w:hAnsi="仿宋" w:eastAsia="仿宋" w:cs="仿宋"/>
          <w:sz w:val="24"/>
          <w:szCs w:val="24"/>
          <w:u w:val="single"/>
          <w:lang w:eastAsia="zh-CN"/>
        </w:rPr>
      </w:pPr>
      <w:r>
        <w:rPr>
          <w:rFonts w:ascii="仿宋" w:hAnsi="仿宋" w:eastAsia="仿宋" w:cs="仿宋"/>
          <w:color w:val="000000"/>
          <w:sz w:val="24"/>
          <w:szCs w:val="24"/>
        </w:rPr>
        <w:t>乙方（卖方）：</w:t>
      </w:r>
      <w:r>
        <w:rPr>
          <w:rFonts w:ascii="仿宋" w:hAnsi="仿宋" w:eastAsia="仿宋" w:cs="仿宋"/>
          <w:color w:val="000000"/>
          <w:sz w:val="24"/>
          <w:highlight w:val="none"/>
          <w:u w:val="single"/>
          <w:lang w:eastAsia="zh-CN"/>
        </w:rPr>
        <w:t xml:space="preserve">                      </w:t>
      </w:r>
    </w:p>
    <w:p w14:paraId="2DBF3C42">
      <w:pPr>
        <w:pStyle w:val="25"/>
        <w:spacing w:line="360" w:lineRule="auto"/>
        <w:ind w:firstLine="600"/>
        <w:jc w:val="both"/>
        <w:rPr>
          <w:rFonts w:hint="default" w:ascii="仿宋" w:hAnsi="仿宋" w:eastAsia="仿宋" w:cs="仿宋"/>
          <w:sz w:val="24"/>
          <w:szCs w:val="24"/>
        </w:rPr>
      </w:pPr>
      <w:r>
        <w:rPr>
          <w:rFonts w:ascii="仿宋" w:hAnsi="仿宋" w:eastAsia="仿宋" w:cs="仿宋"/>
          <w:color w:val="000000"/>
          <w:sz w:val="24"/>
          <w:szCs w:val="24"/>
        </w:rPr>
        <w:t>根据《中华人民共和国民法典》《</w:t>
      </w:r>
      <w:r>
        <w:rPr>
          <w:rFonts w:ascii="仿宋" w:hAnsi="仿宋" w:eastAsia="仿宋" w:cs="仿宋"/>
          <w:color w:val="000000"/>
          <w:sz w:val="24"/>
          <w:szCs w:val="24"/>
          <w:lang w:eastAsia="zh-CN"/>
        </w:rPr>
        <w:t>成交</w:t>
      </w:r>
      <w:r>
        <w:rPr>
          <w:rFonts w:ascii="仿宋" w:hAnsi="仿宋" w:eastAsia="仿宋" w:cs="仿宋"/>
          <w:color w:val="000000"/>
          <w:sz w:val="24"/>
          <w:szCs w:val="24"/>
        </w:rPr>
        <w:t>通知书（</w:t>
      </w:r>
      <w:r>
        <w:rPr>
          <w:rFonts w:ascii="仿宋" w:hAnsi="仿宋" w:eastAsia="仿宋" w:cs="仿宋"/>
          <w:color w:val="000000"/>
          <w:sz w:val="24"/>
        </w:rPr>
        <w:t>文件编号：</w:t>
      </w:r>
      <w:r>
        <w:rPr>
          <w:rFonts w:ascii="仿宋" w:hAnsi="仿宋" w:eastAsia="仿宋" w:cs="仿宋"/>
          <w:color w:val="000000"/>
          <w:sz w:val="24"/>
          <w:highlight w:val="none"/>
          <w:u w:val="single"/>
          <w:lang w:eastAsia="zh-CN"/>
        </w:rPr>
        <w:t xml:space="preserve">           </w:t>
      </w:r>
      <w:r>
        <w:rPr>
          <w:rFonts w:ascii="仿宋" w:hAnsi="仿宋" w:eastAsia="仿宋" w:cs="仿宋"/>
          <w:color w:val="000000"/>
          <w:sz w:val="24"/>
          <w:szCs w:val="24"/>
        </w:rPr>
        <w:t>）》，甲乙双方在平等、自愿、互利原则上，经协商一致，签订本合同。甲乙双方同意按以下条款和条件，由甲方购进乙方出售的以下产品。</w:t>
      </w:r>
    </w:p>
    <w:p w14:paraId="57424B5B">
      <w:pPr>
        <w:pStyle w:val="25"/>
        <w:numPr>
          <w:ilvl w:val="0"/>
          <w:numId w:val="3"/>
        </w:numPr>
        <w:spacing w:line="360" w:lineRule="auto"/>
        <w:ind w:firstLine="480" w:firstLineChars="200"/>
        <w:rPr>
          <w:rFonts w:hint="default" w:ascii="仿宋" w:hAnsi="仿宋" w:eastAsia="仿宋" w:cs="仿宋"/>
          <w:b/>
          <w:color w:val="000000"/>
          <w:sz w:val="24"/>
          <w:szCs w:val="24"/>
        </w:rPr>
      </w:pPr>
      <w:r>
        <w:rPr>
          <w:rFonts w:ascii="仿宋" w:hAnsi="仿宋" w:eastAsia="仿宋" w:cs="仿宋"/>
          <w:b/>
          <w:sz w:val="24"/>
          <w:szCs w:val="24"/>
        </w:rPr>
        <w:t xml:space="preserve"> </w:t>
      </w:r>
      <w:r>
        <w:rPr>
          <w:rFonts w:ascii="仿宋" w:hAnsi="仿宋" w:eastAsia="仿宋" w:cs="仿宋"/>
          <w:b/>
          <w:color w:val="000000"/>
          <w:sz w:val="24"/>
          <w:szCs w:val="24"/>
        </w:rPr>
        <w:t>产品名称、规格型号、数量、价款</w:t>
      </w:r>
    </w:p>
    <w:tbl>
      <w:tblPr>
        <w:tblStyle w:val="20"/>
        <w:tblW w:w="8667"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21"/>
        <w:gridCol w:w="1458"/>
        <w:gridCol w:w="1217"/>
        <w:gridCol w:w="1896"/>
        <w:gridCol w:w="439"/>
        <w:gridCol w:w="467"/>
        <w:gridCol w:w="1019"/>
        <w:gridCol w:w="1010"/>
        <w:gridCol w:w="740"/>
      </w:tblGrid>
      <w:tr w14:paraId="17C643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2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EE2471D">
            <w:pPr>
              <w:pStyle w:val="25"/>
              <w:snapToGrid w:val="0"/>
              <w:jc w:val="center"/>
              <w:rPr>
                <w:rFonts w:hint="default" w:ascii="仿宋" w:hAnsi="仿宋" w:eastAsia="仿宋" w:cs="仿宋"/>
                <w:b/>
                <w:bCs/>
                <w:sz w:val="24"/>
                <w:szCs w:val="24"/>
              </w:rPr>
            </w:pPr>
            <w:r>
              <w:rPr>
                <w:rFonts w:ascii="仿宋" w:hAnsi="仿宋" w:eastAsia="仿宋" w:cs="仿宋"/>
                <w:b/>
                <w:bCs/>
                <w:color w:val="000000"/>
                <w:sz w:val="24"/>
                <w:szCs w:val="24"/>
              </w:rPr>
              <w:t>序号</w:t>
            </w:r>
          </w:p>
        </w:tc>
        <w:tc>
          <w:tcPr>
            <w:tcW w:w="14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D12197B">
            <w:pPr>
              <w:pStyle w:val="25"/>
              <w:snapToGrid w:val="0"/>
              <w:jc w:val="center"/>
              <w:rPr>
                <w:rFonts w:hint="default" w:ascii="仿宋" w:hAnsi="仿宋" w:eastAsia="仿宋" w:cs="仿宋"/>
                <w:b/>
                <w:bCs/>
                <w:sz w:val="24"/>
                <w:szCs w:val="24"/>
                <w:lang w:eastAsia="zh-CN"/>
              </w:rPr>
            </w:pPr>
            <w:r>
              <w:rPr>
                <w:rFonts w:ascii="仿宋" w:hAnsi="仿宋" w:eastAsia="仿宋" w:cs="仿宋"/>
                <w:b/>
                <w:bCs/>
                <w:color w:val="000000"/>
                <w:sz w:val="24"/>
                <w:szCs w:val="24"/>
              </w:rPr>
              <w:t>货物名称</w:t>
            </w:r>
            <w:r>
              <w:rPr>
                <w:rFonts w:ascii="仿宋" w:hAnsi="仿宋" w:eastAsia="仿宋" w:cs="仿宋"/>
                <w:b/>
                <w:bCs/>
                <w:color w:val="000000"/>
                <w:sz w:val="24"/>
                <w:szCs w:val="24"/>
                <w:lang w:eastAsia="zh-CN"/>
              </w:rPr>
              <w:t>（注册证名称）</w:t>
            </w:r>
          </w:p>
        </w:tc>
        <w:tc>
          <w:tcPr>
            <w:tcW w:w="12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E1E9CD8">
            <w:pPr>
              <w:pStyle w:val="25"/>
              <w:snapToGrid w:val="0"/>
              <w:jc w:val="center"/>
              <w:rPr>
                <w:rFonts w:hint="default" w:ascii="仿宋" w:hAnsi="仿宋" w:eastAsia="仿宋" w:cs="仿宋"/>
                <w:b/>
                <w:bCs/>
                <w:sz w:val="24"/>
                <w:szCs w:val="24"/>
              </w:rPr>
            </w:pPr>
            <w:r>
              <w:rPr>
                <w:rFonts w:ascii="仿宋" w:hAnsi="仿宋" w:eastAsia="仿宋" w:cs="仿宋"/>
                <w:b/>
                <w:bCs/>
                <w:color w:val="000000"/>
                <w:sz w:val="24"/>
                <w:szCs w:val="24"/>
              </w:rPr>
              <w:t>规格型号</w:t>
            </w:r>
          </w:p>
        </w:tc>
        <w:tc>
          <w:tcPr>
            <w:tcW w:w="18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469C88C">
            <w:pPr>
              <w:pStyle w:val="25"/>
              <w:snapToGrid w:val="0"/>
              <w:jc w:val="center"/>
              <w:rPr>
                <w:rFonts w:hint="default" w:ascii="仿宋" w:hAnsi="仿宋" w:eastAsia="仿宋" w:cs="仿宋"/>
                <w:b/>
                <w:bCs/>
                <w:sz w:val="24"/>
                <w:szCs w:val="24"/>
              </w:rPr>
            </w:pPr>
            <w:r>
              <w:rPr>
                <w:rFonts w:ascii="仿宋" w:hAnsi="仿宋" w:eastAsia="仿宋" w:cs="仿宋"/>
                <w:b/>
                <w:bCs/>
                <w:color w:val="000000"/>
                <w:sz w:val="24"/>
                <w:szCs w:val="24"/>
              </w:rPr>
              <w:t>制造商及产地</w:t>
            </w:r>
          </w:p>
        </w:tc>
        <w:tc>
          <w:tcPr>
            <w:tcW w:w="4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1EF44C2">
            <w:pPr>
              <w:pStyle w:val="25"/>
              <w:snapToGrid w:val="0"/>
              <w:jc w:val="center"/>
              <w:rPr>
                <w:rFonts w:hint="default" w:ascii="仿宋" w:hAnsi="仿宋" w:eastAsia="仿宋" w:cs="仿宋"/>
                <w:b/>
                <w:bCs/>
                <w:sz w:val="24"/>
                <w:szCs w:val="24"/>
              </w:rPr>
            </w:pPr>
            <w:r>
              <w:rPr>
                <w:rFonts w:ascii="仿宋" w:hAnsi="仿宋" w:eastAsia="仿宋" w:cs="仿宋"/>
                <w:b/>
                <w:bCs/>
                <w:color w:val="000000"/>
                <w:sz w:val="24"/>
                <w:szCs w:val="24"/>
              </w:rPr>
              <w:t>单位</w:t>
            </w:r>
          </w:p>
        </w:tc>
        <w:tc>
          <w:tcPr>
            <w:tcW w:w="4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7CA0E14">
            <w:pPr>
              <w:pStyle w:val="25"/>
              <w:snapToGrid w:val="0"/>
              <w:jc w:val="center"/>
              <w:rPr>
                <w:rFonts w:hint="default" w:ascii="仿宋" w:hAnsi="仿宋" w:eastAsia="仿宋" w:cs="仿宋"/>
                <w:b/>
                <w:bCs/>
                <w:sz w:val="24"/>
                <w:szCs w:val="24"/>
              </w:rPr>
            </w:pPr>
            <w:r>
              <w:rPr>
                <w:rFonts w:ascii="仿宋" w:hAnsi="仿宋" w:eastAsia="仿宋" w:cs="仿宋"/>
                <w:b/>
                <w:bCs/>
                <w:color w:val="000000"/>
                <w:sz w:val="24"/>
                <w:szCs w:val="24"/>
              </w:rPr>
              <w:t>数量</w:t>
            </w:r>
          </w:p>
        </w:tc>
        <w:tc>
          <w:tcPr>
            <w:tcW w:w="101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BD41E36">
            <w:pPr>
              <w:pStyle w:val="25"/>
              <w:snapToGrid w:val="0"/>
              <w:jc w:val="center"/>
              <w:rPr>
                <w:rFonts w:hint="default" w:ascii="仿宋" w:hAnsi="仿宋" w:eastAsia="仿宋" w:cs="仿宋"/>
                <w:b/>
                <w:bCs/>
                <w:color w:val="000000"/>
                <w:sz w:val="24"/>
                <w:szCs w:val="24"/>
              </w:rPr>
            </w:pPr>
            <w:r>
              <w:rPr>
                <w:rFonts w:ascii="仿宋" w:hAnsi="仿宋" w:eastAsia="仿宋" w:cs="仿宋"/>
                <w:b/>
                <w:bCs/>
                <w:color w:val="000000"/>
                <w:sz w:val="24"/>
                <w:szCs w:val="24"/>
              </w:rPr>
              <w:t>单价</w:t>
            </w:r>
          </w:p>
          <w:p w14:paraId="3BEAB8AD">
            <w:pPr>
              <w:pStyle w:val="25"/>
              <w:snapToGrid w:val="0"/>
              <w:jc w:val="center"/>
              <w:rPr>
                <w:rFonts w:hint="default" w:ascii="仿宋" w:hAnsi="仿宋" w:eastAsia="仿宋" w:cs="仿宋"/>
                <w:b/>
                <w:bCs/>
                <w:sz w:val="24"/>
                <w:szCs w:val="24"/>
              </w:rPr>
            </w:pPr>
            <w:r>
              <w:rPr>
                <w:rFonts w:ascii="仿宋" w:hAnsi="仿宋" w:eastAsia="仿宋" w:cs="仿宋"/>
                <w:b/>
                <w:bCs/>
                <w:color w:val="000000"/>
                <w:sz w:val="24"/>
                <w:szCs w:val="24"/>
                <w:lang w:eastAsia="zh-CN"/>
              </w:rPr>
              <w:t>（</w:t>
            </w:r>
            <w:r>
              <w:rPr>
                <w:rFonts w:ascii="仿宋" w:hAnsi="仿宋" w:eastAsia="仿宋" w:cs="仿宋"/>
                <w:b/>
                <w:bCs/>
                <w:color w:val="000000"/>
                <w:sz w:val="24"/>
                <w:szCs w:val="24"/>
              </w:rPr>
              <w:t>元</w:t>
            </w:r>
            <w:r>
              <w:rPr>
                <w:rFonts w:ascii="仿宋" w:hAnsi="仿宋" w:eastAsia="仿宋" w:cs="仿宋"/>
                <w:b/>
                <w:bCs/>
                <w:color w:val="000000"/>
                <w:sz w:val="24"/>
                <w:szCs w:val="24"/>
                <w:lang w:eastAsia="zh-CN"/>
              </w:rPr>
              <w:t>）</w:t>
            </w:r>
          </w:p>
        </w:tc>
        <w:tc>
          <w:tcPr>
            <w:tcW w:w="10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1908448">
            <w:pPr>
              <w:pStyle w:val="25"/>
              <w:snapToGrid w:val="0"/>
              <w:jc w:val="center"/>
              <w:rPr>
                <w:rFonts w:hint="default" w:ascii="仿宋" w:hAnsi="仿宋" w:eastAsia="仿宋" w:cs="仿宋"/>
                <w:b/>
                <w:bCs/>
                <w:color w:val="000000"/>
                <w:sz w:val="24"/>
                <w:szCs w:val="24"/>
              </w:rPr>
            </w:pPr>
            <w:r>
              <w:rPr>
                <w:rFonts w:ascii="仿宋" w:hAnsi="仿宋" w:eastAsia="仿宋" w:cs="仿宋"/>
                <w:b/>
                <w:bCs/>
                <w:color w:val="000000"/>
                <w:sz w:val="24"/>
                <w:szCs w:val="24"/>
              </w:rPr>
              <w:t>金额</w:t>
            </w:r>
          </w:p>
          <w:p w14:paraId="3306FDBC">
            <w:pPr>
              <w:pStyle w:val="25"/>
              <w:snapToGrid w:val="0"/>
              <w:jc w:val="center"/>
              <w:rPr>
                <w:rFonts w:hint="default" w:ascii="仿宋" w:hAnsi="仿宋" w:eastAsia="仿宋" w:cs="仿宋"/>
                <w:b/>
                <w:bCs/>
                <w:sz w:val="24"/>
                <w:szCs w:val="24"/>
              </w:rPr>
            </w:pPr>
            <w:r>
              <w:rPr>
                <w:rFonts w:ascii="仿宋" w:hAnsi="仿宋" w:eastAsia="仿宋" w:cs="仿宋"/>
                <w:b/>
                <w:bCs/>
                <w:color w:val="000000"/>
                <w:sz w:val="24"/>
                <w:szCs w:val="24"/>
                <w:lang w:eastAsia="zh-CN"/>
              </w:rPr>
              <w:t>（</w:t>
            </w:r>
            <w:r>
              <w:rPr>
                <w:rFonts w:ascii="仿宋" w:hAnsi="仿宋" w:eastAsia="仿宋" w:cs="仿宋"/>
                <w:b/>
                <w:bCs/>
                <w:color w:val="000000"/>
                <w:sz w:val="24"/>
                <w:szCs w:val="24"/>
              </w:rPr>
              <w:t>元</w:t>
            </w:r>
            <w:r>
              <w:rPr>
                <w:rFonts w:ascii="仿宋" w:hAnsi="仿宋" w:eastAsia="仿宋" w:cs="仿宋"/>
                <w:b/>
                <w:bCs/>
                <w:color w:val="000000"/>
                <w:sz w:val="24"/>
                <w:szCs w:val="24"/>
                <w:lang w:eastAsia="zh-CN"/>
              </w:rPr>
              <w:t>）</w:t>
            </w:r>
          </w:p>
        </w:tc>
        <w:tc>
          <w:tcPr>
            <w:tcW w:w="7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597FD7B">
            <w:pPr>
              <w:pStyle w:val="25"/>
              <w:snapToGrid w:val="0"/>
              <w:jc w:val="center"/>
              <w:rPr>
                <w:rFonts w:hint="default" w:ascii="仿宋" w:hAnsi="仿宋" w:eastAsia="仿宋" w:cs="仿宋"/>
                <w:b/>
                <w:bCs/>
                <w:sz w:val="24"/>
                <w:szCs w:val="24"/>
              </w:rPr>
            </w:pPr>
            <w:r>
              <w:rPr>
                <w:rFonts w:ascii="仿宋" w:hAnsi="仿宋" w:eastAsia="仿宋" w:cs="仿宋"/>
                <w:b/>
                <w:bCs/>
                <w:color w:val="000000"/>
                <w:sz w:val="24"/>
                <w:szCs w:val="24"/>
              </w:rPr>
              <w:t>备注</w:t>
            </w:r>
          </w:p>
        </w:tc>
      </w:tr>
      <w:tr w14:paraId="5540EB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4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0610FC6">
            <w:pPr>
              <w:pStyle w:val="25"/>
              <w:snapToGrid w:val="0"/>
              <w:jc w:val="center"/>
              <w:rPr>
                <w:rFonts w:hint="default" w:ascii="仿宋" w:hAnsi="仿宋" w:eastAsia="仿宋" w:cs="仿宋"/>
                <w:color w:val="000000"/>
                <w:sz w:val="24"/>
                <w:szCs w:val="24"/>
              </w:rPr>
            </w:pPr>
            <w:r>
              <w:rPr>
                <w:rFonts w:ascii="仿宋" w:hAnsi="仿宋" w:eastAsia="仿宋" w:cs="仿宋"/>
                <w:color w:val="000000"/>
                <w:sz w:val="24"/>
                <w:szCs w:val="24"/>
              </w:rPr>
              <w:t>1</w:t>
            </w:r>
          </w:p>
        </w:tc>
        <w:tc>
          <w:tcPr>
            <w:tcW w:w="145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3D873D">
            <w:pPr>
              <w:pStyle w:val="25"/>
              <w:snapToGrid w:val="0"/>
              <w:jc w:val="center"/>
              <w:rPr>
                <w:rFonts w:hint="default" w:ascii="仿宋" w:hAnsi="仿宋" w:eastAsia="仿宋" w:cs="仿宋"/>
                <w:color w:val="000000"/>
                <w:sz w:val="24"/>
                <w:szCs w:val="24"/>
              </w:rPr>
            </w:pPr>
          </w:p>
        </w:tc>
        <w:tc>
          <w:tcPr>
            <w:tcW w:w="12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00FBF3">
            <w:pPr>
              <w:pStyle w:val="25"/>
              <w:snapToGrid w:val="0"/>
              <w:jc w:val="center"/>
              <w:rPr>
                <w:rFonts w:hint="default" w:ascii="仿宋" w:hAnsi="仿宋" w:eastAsia="仿宋" w:cs="仿宋"/>
                <w:color w:val="000000"/>
                <w:sz w:val="24"/>
                <w:szCs w:val="24"/>
                <w:lang w:eastAsia="zh-CN"/>
              </w:rPr>
            </w:pPr>
          </w:p>
        </w:tc>
        <w:tc>
          <w:tcPr>
            <w:tcW w:w="1896"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3A66DE">
            <w:pPr>
              <w:pStyle w:val="25"/>
              <w:snapToGrid w:val="0"/>
              <w:jc w:val="center"/>
              <w:rPr>
                <w:rFonts w:hint="default" w:ascii="仿宋" w:hAnsi="仿宋" w:eastAsia="仿宋" w:cs="仿宋"/>
                <w:color w:val="000000"/>
                <w:sz w:val="24"/>
                <w:szCs w:val="24"/>
              </w:rPr>
            </w:pPr>
          </w:p>
        </w:tc>
        <w:tc>
          <w:tcPr>
            <w:tcW w:w="43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CE0887">
            <w:pPr>
              <w:pStyle w:val="25"/>
              <w:snapToGrid w:val="0"/>
              <w:jc w:val="center"/>
              <w:rPr>
                <w:rFonts w:hint="default" w:ascii="仿宋" w:hAnsi="仿宋" w:eastAsia="仿宋" w:cs="仿宋"/>
                <w:color w:val="000000"/>
                <w:sz w:val="24"/>
                <w:szCs w:val="24"/>
                <w:lang w:eastAsia="zh-CN"/>
              </w:rPr>
            </w:pPr>
          </w:p>
        </w:tc>
        <w:tc>
          <w:tcPr>
            <w:tcW w:w="46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23D419">
            <w:pPr>
              <w:pStyle w:val="25"/>
              <w:snapToGrid w:val="0"/>
              <w:jc w:val="center"/>
              <w:rPr>
                <w:rFonts w:hint="default" w:ascii="仿宋" w:hAnsi="仿宋" w:eastAsia="仿宋" w:cs="仿宋"/>
                <w:color w:val="000000"/>
                <w:sz w:val="24"/>
                <w:szCs w:val="24"/>
                <w:lang w:eastAsia="zh-CN"/>
              </w:rPr>
            </w:pPr>
          </w:p>
        </w:tc>
        <w:tc>
          <w:tcPr>
            <w:tcW w:w="101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BC0358">
            <w:pPr>
              <w:pStyle w:val="25"/>
              <w:snapToGrid w:val="0"/>
              <w:jc w:val="center"/>
              <w:rPr>
                <w:rFonts w:hint="default" w:ascii="仿宋" w:hAnsi="仿宋" w:eastAsia="仿宋" w:cs="仿宋"/>
                <w:color w:val="000000"/>
                <w:sz w:val="24"/>
                <w:szCs w:val="24"/>
                <w:lang w:eastAsia="zh-CN"/>
              </w:rPr>
            </w:pPr>
          </w:p>
        </w:tc>
        <w:tc>
          <w:tcPr>
            <w:tcW w:w="101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50809C">
            <w:pPr>
              <w:pStyle w:val="25"/>
              <w:snapToGrid w:val="0"/>
              <w:jc w:val="center"/>
              <w:rPr>
                <w:rFonts w:hint="default" w:ascii="仿宋" w:hAnsi="仿宋" w:eastAsia="仿宋" w:cs="仿宋"/>
                <w:color w:val="000000"/>
                <w:sz w:val="24"/>
                <w:szCs w:val="24"/>
                <w:lang w:eastAsia="zh-CN"/>
              </w:rPr>
            </w:pPr>
          </w:p>
        </w:tc>
        <w:tc>
          <w:tcPr>
            <w:tcW w:w="74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655F00">
            <w:pPr>
              <w:pStyle w:val="25"/>
              <w:snapToGrid w:val="0"/>
              <w:jc w:val="center"/>
              <w:rPr>
                <w:rFonts w:hint="default" w:ascii="仿宋" w:hAnsi="仿宋" w:eastAsia="仿宋" w:cs="仿宋"/>
                <w:color w:val="000000"/>
                <w:sz w:val="24"/>
                <w:szCs w:val="24"/>
              </w:rPr>
            </w:pPr>
          </w:p>
        </w:tc>
      </w:tr>
      <w:tr w14:paraId="2CA2EC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8667" w:type="dxa"/>
            <w:gridSpan w:val="9"/>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A5DB1B">
            <w:pPr>
              <w:pStyle w:val="25"/>
              <w:snapToGrid w:val="0"/>
              <w:rPr>
                <w:rFonts w:hint="default" w:ascii="仿宋" w:hAnsi="仿宋" w:eastAsia="仿宋" w:cs="仿宋"/>
                <w:sz w:val="24"/>
                <w:szCs w:val="24"/>
              </w:rPr>
            </w:pPr>
            <w:r>
              <w:rPr>
                <w:rFonts w:ascii="仿宋" w:hAnsi="仿宋" w:eastAsia="仿宋" w:cs="仿宋"/>
                <w:color w:val="000000"/>
                <w:sz w:val="24"/>
                <w:szCs w:val="24"/>
              </w:rPr>
              <w:t>合计</w:t>
            </w:r>
            <w:r>
              <w:rPr>
                <w:rFonts w:ascii="仿宋" w:hAnsi="仿宋" w:eastAsia="仿宋" w:cs="仿宋"/>
                <w:color w:val="000000"/>
                <w:sz w:val="24"/>
                <w:szCs w:val="24"/>
                <w:lang w:eastAsia="zh-CN"/>
              </w:rPr>
              <w:t>：</w:t>
            </w:r>
            <w:r>
              <w:rPr>
                <w:rFonts w:ascii="仿宋" w:hAnsi="仿宋" w:eastAsia="仿宋" w:cs="仿宋"/>
                <w:color w:val="000000"/>
                <w:sz w:val="24"/>
                <w:szCs w:val="24"/>
                <w:u w:val="single"/>
              </w:rPr>
              <w:t>￥</w:t>
            </w:r>
            <w:r>
              <w:rPr>
                <w:rFonts w:ascii="仿宋" w:hAnsi="仿宋" w:eastAsia="仿宋" w:cs="仿宋"/>
                <w:color w:val="000000"/>
                <w:sz w:val="24"/>
                <w:szCs w:val="24"/>
                <w:u w:val="single"/>
                <w:lang w:eastAsia="zh-CN"/>
              </w:rPr>
              <w:t xml:space="preserve">    （</w:t>
            </w:r>
            <w:r>
              <w:rPr>
                <w:rFonts w:ascii="仿宋" w:hAnsi="仿宋" w:eastAsia="仿宋" w:cs="仿宋"/>
                <w:color w:val="000000"/>
                <w:sz w:val="24"/>
                <w:szCs w:val="24"/>
                <w:u w:val="single"/>
              </w:rPr>
              <w:t>人民币</w:t>
            </w:r>
            <w:r>
              <w:rPr>
                <w:rFonts w:ascii="仿宋" w:hAnsi="仿宋" w:eastAsia="仿宋" w:cs="仿宋"/>
                <w:color w:val="000000"/>
                <w:sz w:val="24"/>
                <w:szCs w:val="24"/>
                <w:u w:val="single"/>
                <w:lang w:eastAsia="zh-CN"/>
              </w:rPr>
              <w:t xml:space="preserve"> </w:t>
            </w:r>
            <w:r>
              <w:rPr>
                <w:rFonts w:ascii="仿宋" w:hAnsi="仿宋" w:eastAsia="仿宋" w:cs="仿宋"/>
                <w:color w:val="000000"/>
                <w:sz w:val="24"/>
                <w:szCs w:val="24"/>
                <w:u w:val="single"/>
              </w:rPr>
              <w:t>万</w:t>
            </w:r>
            <w:r>
              <w:rPr>
                <w:rFonts w:ascii="仿宋" w:hAnsi="仿宋" w:eastAsia="仿宋" w:cs="仿宋"/>
                <w:color w:val="000000"/>
                <w:sz w:val="24"/>
                <w:szCs w:val="24"/>
                <w:u w:val="single"/>
                <w:lang w:eastAsia="zh-CN"/>
              </w:rPr>
              <w:t xml:space="preserve"> </w:t>
            </w:r>
            <w:r>
              <w:rPr>
                <w:rFonts w:ascii="仿宋" w:hAnsi="仿宋" w:eastAsia="仿宋" w:cs="仿宋"/>
                <w:color w:val="000000"/>
                <w:sz w:val="24"/>
                <w:szCs w:val="24"/>
                <w:u w:val="single"/>
              </w:rPr>
              <w:t>仟</w:t>
            </w:r>
            <w:r>
              <w:rPr>
                <w:rFonts w:ascii="仿宋" w:hAnsi="仿宋" w:eastAsia="仿宋" w:cs="仿宋"/>
                <w:color w:val="000000"/>
                <w:sz w:val="24"/>
                <w:szCs w:val="24"/>
                <w:u w:val="single"/>
                <w:lang w:eastAsia="zh-CN"/>
              </w:rPr>
              <w:t xml:space="preserve"> </w:t>
            </w:r>
            <w:r>
              <w:rPr>
                <w:rFonts w:ascii="仿宋" w:hAnsi="仿宋" w:eastAsia="仿宋" w:cs="仿宋"/>
                <w:color w:val="000000"/>
                <w:sz w:val="24"/>
                <w:szCs w:val="24"/>
                <w:u w:val="single"/>
              </w:rPr>
              <w:t>佰元整</w:t>
            </w:r>
            <w:r>
              <w:rPr>
                <w:rFonts w:ascii="仿宋" w:hAnsi="仿宋" w:eastAsia="仿宋" w:cs="仿宋"/>
                <w:color w:val="000000"/>
                <w:sz w:val="24"/>
                <w:szCs w:val="24"/>
                <w:u w:val="single"/>
                <w:lang w:eastAsia="zh-CN"/>
              </w:rPr>
              <w:t>）</w:t>
            </w:r>
          </w:p>
        </w:tc>
      </w:tr>
    </w:tbl>
    <w:p w14:paraId="3FE83C4C">
      <w:pPr>
        <w:pStyle w:val="25"/>
        <w:spacing w:line="360" w:lineRule="auto"/>
        <w:ind w:firstLine="480" w:firstLineChars="200"/>
        <w:jc w:val="both"/>
        <w:rPr>
          <w:rFonts w:hint="default" w:ascii="仿宋" w:hAnsi="仿宋" w:eastAsia="仿宋" w:cs="仿宋"/>
          <w:sz w:val="24"/>
          <w:szCs w:val="24"/>
        </w:rPr>
      </w:pPr>
      <w:r>
        <w:rPr>
          <w:rFonts w:ascii="仿宋" w:hAnsi="仿宋" w:eastAsia="仿宋" w:cs="仿宋"/>
          <w:color w:val="000000"/>
          <w:sz w:val="24"/>
          <w:szCs w:val="24"/>
        </w:rPr>
        <w:t>以上价款为乙方产品</w:t>
      </w:r>
      <w:r>
        <w:rPr>
          <w:rFonts w:ascii="仿宋" w:hAnsi="仿宋" w:eastAsia="仿宋" w:cs="仿宋"/>
          <w:color w:val="000000"/>
          <w:sz w:val="24"/>
          <w:szCs w:val="24"/>
          <w:lang w:eastAsia="zh-CN"/>
        </w:rPr>
        <w:t>送</w:t>
      </w:r>
      <w:r>
        <w:rPr>
          <w:rFonts w:ascii="仿宋" w:hAnsi="仿宋" w:eastAsia="仿宋" w:cs="仿宋"/>
          <w:color w:val="000000"/>
          <w:sz w:val="24"/>
          <w:szCs w:val="24"/>
        </w:rPr>
        <w:t>达惠州市第一人民医院指定院区的价格，包含但不限于运送到指定地点的货物、包装费、仓储费、搬运费、运输费、保险费、装卸费、安装调试费、培训费、质保期服务费、商检费、验收、人力成本、税费等交付使用的所有费用。该价款不因原料、材料、劳务、能源等市场价格的变动而变动。</w:t>
      </w:r>
    </w:p>
    <w:p w14:paraId="1F2127CE">
      <w:pPr>
        <w:pStyle w:val="25"/>
        <w:numPr>
          <w:ilvl w:val="0"/>
          <w:numId w:val="3"/>
        </w:numPr>
        <w:spacing w:line="360" w:lineRule="auto"/>
        <w:ind w:firstLine="480" w:firstLineChars="200"/>
        <w:rPr>
          <w:rFonts w:hint="default" w:ascii="仿宋" w:hAnsi="仿宋" w:eastAsia="仿宋" w:cs="仿宋"/>
          <w:sz w:val="24"/>
          <w:szCs w:val="24"/>
        </w:rPr>
      </w:pPr>
      <w:r>
        <w:rPr>
          <w:rFonts w:ascii="仿宋" w:hAnsi="仿宋" w:eastAsia="仿宋" w:cs="仿宋"/>
          <w:b/>
          <w:color w:val="000000"/>
          <w:sz w:val="24"/>
          <w:szCs w:val="24"/>
        </w:rPr>
        <w:t>权利保证</w:t>
      </w:r>
    </w:p>
    <w:p w14:paraId="609469FD">
      <w:pPr>
        <w:pStyle w:val="25"/>
        <w:spacing w:line="360" w:lineRule="auto"/>
        <w:ind w:firstLine="480" w:firstLineChars="200"/>
        <w:jc w:val="both"/>
        <w:rPr>
          <w:rFonts w:hint="default" w:ascii="仿宋" w:hAnsi="仿宋" w:eastAsia="仿宋" w:cs="仿宋"/>
          <w:sz w:val="24"/>
          <w:szCs w:val="24"/>
        </w:rPr>
      </w:pPr>
      <w:r>
        <w:rPr>
          <w:rFonts w:ascii="仿宋" w:hAnsi="仿宋" w:eastAsia="仿宋" w:cs="仿宋"/>
          <w:color w:val="000000"/>
          <w:sz w:val="24"/>
          <w:szCs w:val="24"/>
        </w:rPr>
        <w:t>乙方应保证提供给甲方的产品或产品任何部分非他人所有或与他人共有，未设有抵押权、租赁权，未侵犯他人的专利权、版权、商标权等知识产权，没有任何权利瑕疵。一旦因乙方出卖的产品因权利瑕疵等情况出现侵权，乙方应承担全部责任，包括甲方受到的损失以及维护自身权益而产生的支出（</w:t>
      </w:r>
      <w:r>
        <w:rPr>
          <w:rFonts w:ascii="仿宋" w:hAnsi="仿宋" w:eastAsia="仿宋" w:cs="仿宋"/>
          <w:color w:val="000000"/>
          <w:sz w:val="24"/>
          <w:szCs w:val="24"/>
          <w:lang w:eastAsia="zh-CN"/>
        </w:rPr>
        <w:t>包括但不限于</w:t>
      </w:r>
      <w:r>
        <w:rPr>
          <w:rFonts w:ascii="仿宋" w:hAnsi="仿宋" w:eastAsia="仿宋" w:cs="仿宋"/>
          <w:color w:val="000000"/>
          <w:sz w:val="24"/>
          <w:szCs w:val="24"/>
        </w:rPr>
        <w:t>：律师费、诉讼费等）。货物为原厂商未启封</w:t>
      </w:r>
      <w:r>
        <w:rPr>
          <w:rFonts w:ascii="仿宋" w:hAnsi="仿宋" w:eastAsia="仿宋" w:cs="仿宋"/>
          <w:color w:val="000000"/>
          <w:sz w:val="24"/>
          <w:szCs w:val="24"/>
          <w:lang w:eastAsia="zh-CN"/>
        </w:rPr>
        <w:t>完好</w:t>
      </w:r>
      <w:r>
        <w:rPr>
          <w:rFonts w:ascii="仿宋" w:hAnsi="仿宋" w:eastAsia="仿宋" w:cs="仿宋"/>
          <w:color w:val="000000"/>
          <w:sz w:val="24"/>
          <w:szCs w:val="24"/>
        </w:rPr>
        <w:t>全新包装</w:t>
      </w:r>
      <w:r>
        <w:rPr>
          <w:rFonts w:ascii="仿宋" w:hAnsi="仿宋" w:eastAsia="仿宋" w:cs="仿宋"/>
          <w:color w:val="000000"/>
          <w:sz w:val="24"/>
          <w:szCs w:val="24"/>
          <w:lang w:eastAsia="zh-CN"/>
        </w:rPr>
        <w:t>非运损品</w:t>
      </w:r>
      <w:r>
        <w:rPr>
          <w:rFonts w:ascii="仿宋" w:hAnsi="仿宋" w:eastAsia="仿宋" w:cs="仿宋"/>
          <w:color w:val="000000"/>
          <w:sz w:val="24"/>
          <w:szCs w:val="24"/>
        </w:rPr>
        <w:t>，序列号、包装箱号与出厂批号一致，并</w:t>
      </w:r>
      <w:r>
        <w:rPr>
          <w:rFonts w:ascii="仿宋" w:hAnsi="仿宋" w:eastAsia="仿宋" w:cs="仿宋"/>
          <w:color w:val="000000"/>
          <w:sz w:val="24"/>
          <w:szCs w:val="24"/>
          <w:lang w:eastAsia="zh-CN"/>
        </w:rPr>
        <w:t>可追溯</w:t>
      </w:r>
      <w:r>
        <w:rPr>
          <w:rFonts w:ascii="仿宋" w:hAnsi="仿宋" w:eastAsia="仿宋" w:cs="仿宋"/>
          <w:color w:val="000000"/>
          <w:sz w:val="24"/>
          <w:szCs w:val="24"/>
        </w:rPr>
        <w:t>查阅。</w:t>
      </w:r>
    </w:p>
    <w:p w14:paraId="751A96F9">
      <w:pPr>
        <w:pStyle w:val="25"/>
        <w:numPr>
          <w:ilvl w:val="0"/>
          <w:numId w:val="3"/>
        </w:numPr>
        <w:spacing w:line="360" w:lineRule="auto"/>
        <w:ind w:firstLine="480" w:firstLineChars="200"/>
        <w:rPr>
          <w:rFonts w:hint="default" w:ascii="仿宋" w:hAnsi="仿宋" w:eastAsia="仿宋" w:cs="仿宋"/>
          <w:sz w:val="24"/>
          <w:szCs w:val="24"/>
        </w:rPr>
      </w:pPr>
      <w:r>
        <w:rPr>
          <w:rFonts w:ascii="仿宋" w:hAnsi="仿宋" w:eastAsia="仿宋" w:cs="仿宋"/>
          <w:b/>
          <w:color w:val="000000"/>
          <w:sz w:val="24"/>
          <w:szCs w:val="24"/>
        </w:rPr>
        <w:t>产品质量</w:t>
      </w:r>
    </w:p>
    <w:p w14:paraId="4861BEF8">
      <w:pPr>
        <w:pStyle w:val="25"/>
        <w:numPr>
          <w:ilvl w:val="0"/>
          <w:numId w:val="4"/>
        </w:numPr>
        <w:spacing w:line="360" w:lineRule="auto"/>
        <w:rPr>
          <w:rFonts w:hint="default" w:ascii="仿宋" w:hAnsi="仿宋" w:eastAsia="仿宋" w:cs="仿宋"/>
          <w:sz w:val="24"/>
          <w:szCs w:val="24"/>
        </w:rPr>
      </w:pPr>
      <w:r>
        <w:rPr>
          <w:rFonts w:ascii="仿宋" w:hAnsi="仿宋" w:eastAsia="仿宋" w:cs="仿宋"/>
          <w:color w:val="000000"/>
          <w:sz w:val="24"/>
          <w:szCs w:val="24"/>
        </w:rPr>
        <w:t>乙方所提供的产品质量应符合国家、行业等有关标准；产品所有技术性能规格及参数，应符合招标文件和乙方投标文件所要求的技术标准及生产厂商公开的宣传资料和生产厂商网站宣传内容的标准要求。</w:t>
      </w:r>
    </w:p>
    <w:p w14:paraId="76AE9E57">
      <w:pPr>
        <w:pStyle w:val="25"/>
        <w:numPr>
          <w:ilvl w:val="0"/>
          <w:numId w:val="4"/>
        </w:numPr>
        <w:spacing w:line="360" w:lineRule="auto"/>
        <w:jc w:val="both"/>
        <w:rPr>
          <w:rFonts w:hint="default" w:ascii="仿宋" w:hAnsi="仿宋" w:eastAsia="仿宋" w:cs="仿宋"/>
          <w:sz w:val="24"/>
          <w:szCs w:val="24"/>
        </w:rPr>
      </w:pPr>
      <w:r>
        <w:rPr>
          <w:rFonts w:ascii="仿宋" w:hAnsi="仿宋" w:eastAsia="仿宋" w:cs="仿宋"/>
          <w:color w:val="000000"/>
          <w:sz w:val="24"/>
          <w:szCs w:val="24"/>
        </w:rPr>
        <w:t>乙方应保证提供的产品是全新未使用过的原厂合格正品（包括零部件）</w:t>
      </w:r>
      <w:r>
        <w:rPr>
          <w:rFonts w:ascii="仿宋" w:hAnsi="仿宋" w:eastAsia="仿宋" w:cs="仿宋"/>
          <w:color w:val="000000"/>
          <w:sz w:val="24"/>
          <w:szCs w:val="24"/>
          <w:lang w:eastAsia="zh-CN"/>
        </w:rPr>
        <w:t>且非运损件</w:t>
      </w:r>
      <w:r>
        <w:rPr>
          <w:rFonts w:ascii="仿宋" w:hAnsi="仿宋" w:eastAsia="仿宋" w:cs="仿宋"/>
          <w:color w:val="000000"/>
          <w:sz w:val="24"/>
          <w:szCs w:val="24"/>
        </w:rPr>
        <w:t>，完全符合合同规定的质量、规格型号和性能的要求。</w:t>
      </w:r>
    </w:p>
    <w:p w14:paraId="36A4DE3A">
      <w:pPr>
        <w:pStyle w:val="25"/>
        <w:numPr>
          <w:ilvl w:val="0"/>
          <w:numId w:val="3"/>
        </w:numPr>
        <w:spacing w:line="360" w:lineRule="auto"/>
        <w:ind w:firstLine="480" w:firstLineChars="200"/>
        <w:rPr>
          <w:rFonts w:hint="default" w:ascii="仿宋" w:hAnsi="仿宋" w:eastAsia="仿宋" w:cs="仿宋"/>
          <w:sz w:val="24"/>
          <w:szCs w:val="24"/>
        </w:rPr>
      </w:pPr>
      <w:r>
        <w:rPr>
          <w:rFonts w:ascii="仿宋" w:hAnsi="仿宋" w:eastAsia="仿宋" w:cs="仿宋"/>
          <w:b/>
          <w:color w:val="000000"/>
          <w:sz w:val="24"/>
          <w:szCs w:val="24"/>
        </w:rPr>
        <w:t>交付和验收</w:t>
      </w:r>
    </w:p>
    <w:p w14:paraId="72A92CC1">
      <w:pPr>
        <w:pStyle w:val="25"/>
        <w:numPr>
          <w:ilvl w:val="0"/>
          <w:numId w:val="5"/>
        </w:numPr>
        <w:spacing w:line="360" w:lineRule="auto"/>
        <w:jc w:val="both"/>
        <w:rPr>
          <w:rFonts w:hint="default" w:ascii="仿宋" w:hAnsi="仿宋" w:eastAsia="仿宋" w:cs="仿宋"/>
          <w:sz w:val="24"/>
          <w:szCs w:val="24"/>
        </w:rPr>
      </w:pPr>
      <w:r>
        <w:rPr>
          <w:rFonts w:ascii="仿宋" w:hAnsi="仿宋" w:eastAsia="仿宋" w:cs="仿宋"/>
          <w:sz w:val="24"/>
          <w:szCs w:val="24"/>
        </w:rPr>
        <w:t>交货时间和地点：自合同签订</w:t>
      </w:r>
      <w:r>
        <w:rPr>
          <w:rFonts w:ascii="仿宋" w:hAnsi="仿宋" w:eastAsia="仿宋" w:cs="仿宋"/>
          <w:sz w:val="24"/>
          <w:szCs w:val="24"/>
          <w:lang w:eastAsia="zh-CN"/>
        </w:rPr>
        <w:t>之</w:t>
      </w:r>
      <w:r>
        <w:rPr>
          <w:rFonts w:ascii="仿宋" w:hAnsi="仿宋" w:eastAsia="仿宋" w:cs="仿宋"/>
          <w:sz w:val="24"/>
          <w:szCs w:val="24"/>
        </w:rPr>
        <w:t>日起</w:t>
      </w:r>
      <w:r>
        <w:rPr>
          <w:rFonts w:ascii="仿宋" w:hAnsi="仿宋" w:eastAsia="仿宋" w:cs="仿宋"/>
          <w:sz w:val="24"/>
          <w:szCs w:val="24"/>
          <w:highlight w:val="none"/>
          <w:u w:val="single"/>
          <w:lang w:eastAsia="zh-CN"/>
        </w:rPr>
        <w:t xml:space="preserve"> </w:t>
      </w:r>
      <w:r>
        <w:rPr>
          <w:rFonts w:ascii="仿宋" w:hAnsi="仿宋" w:eastAsia="仿宋" w:cs="仿宋"/>
          <w:sz w:val="24"/>
          <w:highlight w:val="none"/>
          <w:u w:val="single"/>
          <w:lang w:eastAsia="zh-CN"/>
        </w:rPr>
        <w:t xml:space="preserve">   </w:t>
      </w:r>
      <w:r>
        <w:rPr>
          <w:rFonts w:ascii="仿宋" w:hAnsi="仿宋" w:eastAsia="仿宋" w:cs="仿宋"/>
          <w:sz w:val="24"/>
          <w:szCs w:val="24"/>
          <w:lang w:eastAsia="zh-CN"/>
        </w:rPr>
        <w:t>天</w:t>
      </w:r>
      <w:r>
        <w:rPr>
          <w:rFonts w:ascii="仿宋" w:hAnsi="仿宋" w:eastAsia="仿宋" w:cs="仿宋"/>
          <w:sz w:val="24"/>
          <w:szCs w:val="24"/>
        </w:rPr>
        <w:t>内；如甲方有特殊需求，甲乙双方可以协商交货时间，具体交货时间，由甲方在合同签订后另行以书面形式通知乙方交货。乙方负责将产品运送至甲方指定的地方，产品需要安装调试的应</w:t>
      </w:r>
      <w:r>
        <w:rPr>
          <w:rFonts w:ascii="仿宋" w:hAnsi="仿宋" w:eastAsia="仿宋" w:cs="仿宋"/>
          <w:color w:val="000000"/>
          <w:sz w:val="24"/>
          <w:szCs w:val="24"/>
        </w:rPr>
        <w:t>及时安排人员安装调试，并承担由此产生的全部费用（安装调试费、安装调试所需要的设备、构件等）。甲方收货前的产品毁损灭失的风险由乙方承担，收货时间点以甲方签署收货单为准。</w:t>
      </w:r>
    </w:p>
    <w:p w14:paraId="1EA0563C">
      <w:pPr>
        <w:pStyle w:val="25"/>
        <w:numPr>
          <w:ilvl w:val="0"/>
          <w:numId w:val="5"/>
        </w:numPr>
        <w:spacing w:line="360" w:lineRule="auto"/>
        <w:jc w:val="both"/>
        <w:rPr>
          <w:rFonts w:hint="default" w:ascii="仿宋" w:hAnsi="仿宋" w:eastAsia="仿宋" w:cs="仿宋"/>
          <w:sz w:val="24"/>
          <w:szCs w:val="24"/>
        </w:rPr>
      </w:pPr>
      <w:r>
        <w:rPr>
          <w:rFonts w:ascii="仿宋" w:hAnsi="仿宋" w:eastAsia="仿宋" w:cs="仿宋"/>
          <w:color w:val="000000"/>
          <w:sz w:val="24"/>
          <w:szCs w:val="24"/>
        </w:rPr>
        <w:t>设备到达甲方指定地点前，乙方提供安装前期准备书面通知，并协助甲方做好安装前准备</w:t>
      </w:r>
      <w:r>
        <w:rPr>
          <w:rFonts w:ascii="仿宋" w:hAnsi="仿宋" w:eastAsia="仿宋" w:cs="仿宋"/>
          <w:color w:val="000000"/>
          <w:sz w:val="24"/>
          <w:szCs w:val="24"/>
          <w:lang w:eastAsia="zh-CN"/>
        </w:rPr>
        <w:t>，若因乙方未提前通知导致甲方未如期接收货物的，不视为甲方违约，乙方应承担由此造成的一切损失</w:t>
      </w:r>
      <w:r>
        <w:rPr>
          <w:rFonts w:ascii="仿宋" w:hAnsi="仿宋" w:eastAsia="仿宋" w:cs="仿宋"/>
          <w:color w:val="000000"/>
          <w:sz w:val="24"/>
          <w:szCs w:val="24"/>
        </w:rPr>
        <w:t>。交货时乙方应提供整套完整的中文技术文件，包括产品合格证、使用说明书、简明操作流程卡、维修保养手册等。到货后由乙方的技术人员到现场免费进行安装、调试。安装、调试后应达到承诺的技术指标。安装调试所产生的全部费用由乙方承担。</w:t>
      </w:r>
    </w:p>
    <w:p w14:paraId="6F966CCD">
      <w:pPr>
        <w:pStyle w:val="25"/>
        <w:numPr>
          <w:ilvl w:val="0"/>
          <w:numId w:val="5"/>
        </w:numPr>
        <w:spacing w:line="360" w:lineRule="auto"/>
        <w:jc w:val="both"/>
        <w:rPr>
          <w:rFonts w:hint="default" w:ascii="仿宋" w:hAnsi="仿宋" w:eastAsia="仿宋" w:cs="仿宋"/>
          <w:sz w:val="24"/>
          <w:szCs w:val="24"/>
        </w:rPr>
      </w:pPr>
      <w:r>
        <w:rPr>
          <w:rFonts w:ascii="仿宋" w:hAnsi="仿宋" w:eastAsia="仿宋" w:cs="仿宋"/>
          <w:color w:val="000000"/>
          <w:sz w:val="24"/>
          <w:szCs w:val="24"/>
        </w:rPr>
        <w:t>设备出厂时间要求：交货设备须为最新出厂的设备，设备到货日期距生产日期≤</w:t>
      </w:r>
      <w:r>
        <w:rPr>
          <w:rFonts w:ascii="仿宋" w:hAnsi="仿宋" w:eastAsia="仿宋" w:cs="仿宋"/>
          <w:sz w:val="24"/>
          <w:szCs w:val="24"/>
          <w:highlight w:val="none"/>
          <w:u w:val="single"/>
          <w:lang w:eastAsia="zh-CN"/>
        </w:rPr>
        <w:t xml:space="preserve">   </w:t>
      </w:r>
      <w:r>
        <w:rPr>
          <w:rFonts w:ascii="仿宋" w:hAnsi="仿宋" w:eastAsia="仿宋" w:cs="仿宋"/>
          <w:color w:val="000000"/>
          <w:sz w:val="24"/>
          <w:szCs w:val="24"/>
        </w:rPr>
        <w:t>个月。</w:t>
      </w:r>
    </w:p>
    <w:p w14:paraId="46741137">
      <w:pPr>
        <w:pStyle w:val="25"/>
        <w:numPr>
          <w:ilvl w:val="0"/>
          <w:numId w:val="5"/>
        </w:numPr>
        <w:spacing w:line="360" w:lineRule="auto"/>
        <w:jc w:val="both"/>
        <w:rPr>
          <w:rFonts w:hint="default" w:ascii="仿宋" w:hAnsi="仿宋" w:eastAsia="仿宋" w:cs="仿宋"/>
          <w:sz w:val="24"/>
          <w:szCs w:val="24"/>
        </w:rPr>
      </w:pPr>
      <w:r>
        <w:rPr>
          <w:rFonts w:ascii="仿宋" w:hAnsi="仿宋" w:eastAsia="仿宋" w:cs="仿宋"/>
          <w:color w:val="000000"/>
          <w:sz w:val="24"/>
          <w:szCs w:val="24"/>
        </w:rPr>
        <w:t>信息接口：设备如需与甲方信息系统（如：PACS系统等）连接，信息系统接口等费用由乙方承担。</w:t>
      </w:r>
    </w:p>
    <w:p w14:paraId="7AB862D4">
      <w:pPr>
        <w:pStyle w:val="25"/>
        <w:numPr>
          <w:ilvl w:val="0"/>
          <w:numId w:val="5"/>
        </w:numPr>
        <w:spacing w:line="360" w:lineRule="auto"/>
        <w:jc w:val="both"/>
        <w:rPr>
          <w:rFonts w:hint="default" w:ascii="仿宋" w:hAnsi="仿宋" w:eastAsia="仿宋" w:cs="仿宋"/>
          <w:sz w:val="24"/>
          <w:szCs w:val="24"/>
        </w:rPr>
      </w:pPr>
      <w:r>
        <w:rPr>
          <w:rFonts w:ascii="仿宋" w:hAnsi="仿宋" w:eastAsia="仿宋" w:cs="仿宋"/>
          <w:color w:val="000000"/>
          <w:sz w:val="24"/>
          <w:szCs w:val="24"/>
        </w:rPr>
        <w:t>验收：</w:t>
      </w:r>
    </w:p>
    <w:p w14:paraId="2BE964D9">
      <w:pPr>
        <w:pStyle w:val="25"/>
        <w:numPr>
          <w:ilvl w:val="0"/>
          <w:numId w:val="6"/>
        </w:numPr>
        <w:spacing w:line="360" w:lineRule="auto"/>
        <w:ind w:firstLine="480" w:firstLineChars="200"/>
        <w:jc w:val="both"/>
        <w:rPr>
          <w:rFonts w:hint="default" w:ascii="仿宋" w:hAnsi="仿宋" w:eastAsia="仿宋" w:cs="仿宋"/>
          <w:sz w:val="24"/>
          <w:szCs w:val="24"/>
        </w:rPr>
      </w:pPr>
      <w:r>
        <w:rPr>
          <w:rFonts w:ascii="仿宋" w:hAnsi="仿宋" w:eastAsia="仿宋" w:cs="仿宋"/>
          <w:color w:val="000000"/>
          <w:sz w:val="24"/>
          <w:szCs w:val="24"/>
        </w:rPr>
        <w:t>验收时间：乙方按照甲方的要求负责将设备在甲方指定地方安装、调试、培训至正常使用后，由乙方提出书面验收申请，甲方应于收到乙方提出验收申请后</w:t>
      </w:r>
      <w:r>
        <w:rPr>
          <w:rFonts w:ascii="仿宋" w:hAnsi="仿宋" w:eastAsia="仿宋" w:cs="仿宋"/>
          <w:color w:val="000000"/>
          <w:sz w:val="24"/>
          <w:szCs w:val="24"/>
          <w:lang w:eastAsia="zh-CN"/>
        </w:rPr>
        <w:t>一个月</w:t>
      </w:r>
      <w:r>
        <w:rPr>
          <w:rFonts w:ascii="仿宋" w:hAnsi="仿宋" w:eastAsia="仿宋" w:cs="仿宋"/>
          <w:color w:val="000000"/>
          <w:sz w:val="24"/>
          <w:szCs w:val="24"/>
        </w:rPr>
        <w:t>内组织验收。</w:t>
      </w:r>
    </w:p>
    <w:p w14:paraId="58225B35">
      <w:pPr>
        <w:pStyle w:val="25"/>
        <w:numPr>
          <w:ilvl w:val="0"/>
          <w:numId w:val="6"/>
        </w:numPr>
        <w:spacing w:line="360" w:lineRule="auto"/>
        <w:ind w:firstLine="480" w:firstLineChars="200"/>
        <w:jc w:val="both"/>
        <w:rPr>
          <w:rFonts w:hint="default" w:ascii="仿宋" w:hAnsi="仿宋" w:eastAsia="仿宋" w:cs="仿宋"/>
          <w:sz w:val="24"/>
          <w:szCs w:val="24"/>
        </w:rPr>
      </w:pPr>
      <w:r>
        <w:rPr>
          <w:rFonts w:ascii="仿宋" w:hAnsi="仿宋" w:eastAsia="仿宋" w:cs="仿宋"/>
          <w:color w:val="000000"/>
          <w:sz w:val="24"/>
          <w:szCs w:val="24"/>
        </w:rPr>
        <w:t>甲方验收合格后应当出具验收报告，需要其他行政管理机构验收的由验收机构出具验收报告。产品验收不合格的，甲方有权拒绝受领，有权要求退货、换货，并由乙方将产品运回，由此产生的实际费用（包括但不限于运费）由乙方承担，三次验收不合格的甲方有权</w:t>
      </w:r>
      <w:r>
        <w:rPr>
          <w:rFonts w:ascii="仿宋" w:hAnsi="仿宋" w:eastAsia="仿宋" w:cs="仿宋"/>
          <w:color w:val="000000"/>
          <w:sz w:val="24"/>
          <w:szCs w:val="24"/>
          <w:lang w:eastAsia="zh-CN"/>
        </w:rPr>
        <w:t>单方</w:t>
      </w:r>
      <w:r>
        <w:rPr>
          <w:rFonts w:ascii="仿宋" w:hAnsi="仿宋" w:eastAsia="仿宋" w:cs="仿宋"/>
          <w:color w:val="000000"/>
          <w:sz w:val="24"/>
          <w:szCs w:val="24"/>
        </w:rPr>
        <w:t>解除合同，并要求乙方承担甲方在此期间因设备无法使用所遭受的损失及其他相关的损失。乙方拒不处理不合格产品的，由此造成的全部损失及甲方为维护正当权益所支出的费用（包括但不限于律师费、诉讼费等），由乙方承担甲方有权追索。如甲方在乙方提出验收申请后的</w:t>
      </w:r>
      <w:r>
        <w:rPr>
          <w:rFonts w:ascii="仿宋" w:hAnsi="仿宋" w:eastAsia="仿宋" w:cs="仿宋"/>
          <w:color w:val="000000"/>
          <w:sz w:val="24"/>
          <w:szCs w:val="24"/>
          <w:lang w:eastAsia="zh-CN"/>
        </w:rPr>
        <w:t>一个月</w:t>
      </w:r>
      <w:r>
        <w:rPr>
          <w:rFonts w:ascii="仿宋" w:hAnsi="仿宋" w:eastAsia="仿宋" w:cs="仿宋"/>
          <w:color w:val="000000"/>
          <w:sz w:val="24"/>
          <w:szCs w:val="24"/>
        </w:rPr>
        <w:t>内未组织验收，又未向乙方提出数量、质量异议的，视为乙方交付的产品符合本合同约定。</w:t>
      </w:r>
    </w:p>
    <w:p w14:paraId="657894F2">
      <w:pPr>
        <w:pStyle w:val="25"/>
        <w:numPr>
          <w:ilvl w:val="0"/>
          <w:numId w:val="6"/>
        </w:numPr>
        <w:spacing w:line="360" w:lineRule="auto"/>
        <w:ind w:firstLine="480" w:firstLineChars="200"/>
        <w:jc w:val="both"/>
        <w:rPr>
          <w:rFonts w:hint="default" w:ascii="仿宋" w:hAnsi="仿宋" w:eastAsia="仿宋" w:cs="仿宋"/>
          <w:sz w:val="24"/>
          <w:szCs w:val="24"/>
        </w:rPr>
      </w:pPr>
      <w:r>
        <w:rPr>
          <w:rFonts w:ascii="仿宋" w:hAnsi="仿宋" w:eastAsia="仿宋" w:cs="仿宋"/>
          <w:color w:val="000000"/>
          <w:sz w:val="24"/>
          <w:szCs w:val="24"/>
        </w:rPr>
        <w:t>验收要求：</w:t>
      </w:r>
    </w:p>
    <w:p w14:paraId="09CC5592">
      <w:pPr>
        <w:pStyle w:val="25"/>
        <w:spacing w:line="360" w:lineRule="auto"/>
        <w:ind w:firstLine="480"/>
        <w:jc w:val="both"/>
        <w:rPr>
          <w:rFonts w:hint="default" w:ascii="仿宋" w:hAnsi="仿宋" w:eastAsia="仿宋" w:cs="仿宋"/>
          <w:color w:val="000000"/>
          <w:sz w:val="24"/>
          <w:szCs w:val="24"/>
        </w:rPr>
      </w:pPr>
      <w:r>
        <w:rPr>
          <w:rFonts w:ascii="仿宋" w:hAnsi="仿宋" w:eastAsia="仿宋" w:cs="仿宋"/>
          <w:color w:val="000000"/>
          <w:sz w:val="24"/>
          <w:szCs w:val="24"/>
        </w:rPr>
        <w:t>3.1 单证齐全：应有产品合格证、使用说明、技术手册、保修证明（厂家盖章的保修文件等）和其它应具有的单证。</w:t>
      </w:r>
    </w:p>
    <w:p w14:paraId="4E9AF64E">
      <w:pPr>
        <w:pStyle w:val="25"/>
        <w:spacing w:line="360" w:lineRule="auto"/>
        <w:ind w:firstLine="480"/>
        <w:jc w:val="both"/>
        <w:rPr>
          <w:rFonts w:hint="default" w:ascii="仿宋" w:hAnsi="仿宋" w:eastAsia="仿宋" w:cs="仿宋"/>
          <w:sz w:val="24"/>
          <w:szCs w:val="24"/>
        </w:rPr>
      </w:pPr>
      <w:r>
        <w:rPr>
          <w:rFonts w:ascii="仿宋" w:hAnsi="仿宋" w:eastAsia="仿宋" w:cs="仿宋"/>
          <w:color w:val="000000"/>
          <w:sz w:val="24"/>
          <w:szCs w:val="24"/>
        </w:rPr>
        <w:t>3.2  质量符合国家、行业等有关标准，符合招标文件、投标文件及生产厂商公开的宣传资料和生产厂商官方网站宣传内容的</w:t>
      </w:r>
      <w:r>
        <w:rPr>
          <w:rFonts w:ascii="仿宋" w:hAnsi="仿宋" w:eastAsia="仿宋" w:cs="仿宋"/>
          <w:color w:val="000000"/>
          <w:sz w:val="24"/>
          <w:szCs w:val="24"/>
          <w:lang w:eastAsia="zh-CN"/>
        </w:rPr>
        <w:t>标准</w:t>
      </w:r>
      <w:r>
        <w:rPr>
          <w:rFonts w:ascii="仿宋" w:hAnsi="仿宋" w:eastAsia="仿宋" w:cs="仿宋"/>
          <w:color w:val="000000"/>
          <w:sz w:val="24"/>
          <w:szCs w:val="24"/>
        </w:rPr>
        <w:t>要求。只有货物完全符合上述标准、各部分零部件质量合格、安装调试后按要求连续正常运行</w:t>
      </w:r>
      <w:r>
        <w:rPr>
          <w:rFonts w:ascii="仿宋" w:hAnsi="仿宋" w:eastAsia="仿宋" w:cs="仿宋"/>
          <w:sz w:val="24"/>
          <w:szCs w:val="24"/>
          <w:highlight w:val="none"/>
          <w:u w:val="single"/>
          <w:lang w:eastAsia="zh-CN"/>
        </w:rPr>
        <w:t xml:space="preserve">   </w:t>
      </w:r>
      <w:r>
        <w:rPr>
          <w:rFonts w:ascii="仿宋" w:hAnsi="仿宋" w:eastAsia="仿宋" w:cs="仿宋"/>
          <w:color w:val="000000"/>
          <w:sz w:val="24"/>
          <w:szCs w:val="24"/>
        </w:rPr>
        <w:t>天后，才视为货物质量合格</w:t>
      </w:r>
      <w:r>
        <w:rPr>
          <w:rFonts w:ascii="仿宋" w:hAnsi="仿宋" w:eastAsia="仿宋" w:cs="仿宋"/>
          <w:color w:val="000000"/>
          <w:sz w:val="24"/>
          <w:szCs w:val="24"/>
          <w:lang w:eastAsia="zh-CN"/>
        </w:rPr>
        <w:t>，双方应当签订验收报告</w:t>
      </w:r>
      <w:r>
        <w:rPr>
          <w:rFonts w:ascii="仿宋" w:hAnsi="仿宋" w:eastAsia="仿宋" w:cs="仿宋"/>
          <w:color w:val="000000"/>
          <w:sz w:val="24"/>
          <w:szCs w:val="24"/>
        </w:rPr>
        <w:t>。货物经甲方检验验收合格，并不</w:t>
      </w:r>
      <w:r>
        <w:rPr>
          <w:rFonts w:ascii="仿宋" w:hAnsi="仿宋" w:eastAsia="仿宋" w:cs="仿宋"/>
          <w:color w:val="000000"/>
          <w:sz w:val="24"/>
          <w:szCs w:val="24"/>
          <w:lang w:eastAsia="zh-CN"/>
        </w:rPr>
        <w:t>排除</w:t>
      </w:r>
      <w:r>
        <w:rPr>
          <w:rFonts w:ascii="仿宋" w:hAnsi="仿宋" w:eastAsia="仿宋" w:cs="仿宋"/>
          <w:color w:val="000000"/>
          <w:sz w:val="24"/>
          <w:szCs w:val="24"/>
        </w:rPr>
        <w:t>乙方应当承担的质量保修义务。</w:t>
      </w:r>
    </w:p>
    <w:p w14:paraId="3A6695C1">
      <w:pPr>
        <w:pStyle w:val="25"/>
        <w:spacing w:line="360" w:lineRule="auto"/>
        <w:ind w:firstLine="480"/>
        <w:jc w:val="both"/>
        <w:rPr>
          <w:rFonts w:hint="default" w:ascii="仿宋" w:hAnsi="仿宋" w:eastAsia="仿宋" w:cs="仿宋"/>
          <w:sz w:val="24"/>
          <w:szCs w:val="24"/>
        </w:rPr>
      </w:pPr>
      <w:r>
        <w:rPr>
          <w:rFonts w:ascii="仿宋" w:hAnsi="仿宋" w:eastAsia="仿宋" w:cs="仿宋"/>
          <w:color w:val="000000"/>
          <w:sz w:val="24"/>
          <w:szCs w:val="24"/>
        </w:rPr>
        <w:t>3.3  仪器设备运抵甲方安装现场后，甲方将与乙方共同开箱验收，如乙方届时不指派人员参与，则验收结果应以甲方的验收报告为最终验收结果。验收时发现短缺、破损，甲方有权要求乙方负责更换。</w:t>
      </w:r>
    </w:p>
    <w:p w14:paraId="2E425106">
      <w:pPr>
        <w:pStyle w:val="25"/>
        <w:spacing w:line="360" w:lineRule="auto"/>
        <w:ind w:firstLine="480"/>
        <w:jc w:val="both"/>
        <w:rPr>
          <w:rFonts w:hint="default" w:ascii="仿宋" w:hAnsi="仿宋" w:eastAsia="仿宋" w:cs="仿宋"/>
          <w:sz w:val="24"/>
          <w:szCs w:val="24"/>
        </w:rPr>
      </w:pPr>
      <w:r>
        <w:rPr>
          <w:rFonts w:ascii="仿宋" w:hAnsi="仿宋" w:eastAsia="仿宋" w:cs="仿宋"/>
          <w:color w:val="000000"/>
          <w:sz w:val="24"/>
          <w:szCs w:val="24"/>
        </w:rPr>
        <w:t>3.4  由甲方、乙方及相关人员依据国家有关标准、招标文件供货要求事项、投标文件、合同及有关附件要求进行</w:t>
      </w:r>
      <w:r>
        <w:rPr>
          <w:rFonts w:ascii="仿宋" w:hAnsi="仿宋" w:eastAsia="仿宋" w:cs="仿宋"/>
          <w:color w:val="000000"/>
          <w:sz w:val="24"/>
          <w:szCs w:val="24"/>
          <w:lang w:eastAsia="zh-CN"/>
        </w:rPr>
        <w:t>验收</w:t>
      </w:r>
      <w:r>
        <w:rPr>
          <w:rFonts w:ascii="仿宋" w:hAnsi="仿宋" w:eastAsia="仿宋" w:cs="仿宋"/>
          <w:color w:val="000000"/>
          <w:sz w:val="24"/>
          <w:szCs w:val="24"/>
        </w:rPr>
        <w:t>，验收完毕由甲方代表及乙方代表在验收报告上签字。</w:t>
      </w:r>
    </w:p>
    <w:p w14:paraId="55E2E2A2">
      <w:pPr>
        <w:pStyle w:val="25"/>
        <w:spacing w:line="360" w:lineRule="auto"/>
        <w:ind w:firstLine="480"/>
        <w:jc w:val="both"/>
        <w:rPr>
          <w:rFonts w:hint="default" w:ascii="仿宋" w:hAnsi="仿宋" w:eastAsia="仿宋" w:cs="仿宋"/>
          <w:sz w:val="24"/>
          <w:szCs w:val="24"/>
        </w:rPr>
      </w:pPr>
      <w:r>
        <w:rPr>
          <w:rFonts w:ascii="仿宋" w:hAnsi="仿宋" w:eastAsia="仿宋" w:cs="仿宋"/>
          <w:color w:val="000000"/>
          <w:sz w:val="24"/>
          <w:szCs w:val="24"/>
        </w:rPr>
        <w:t>3.5  验收标准以乙方的投标文件中所列的指标为准（该指标应不低于招标文件所要求的指标）。验收时如发现乙方在投标时存在虚假指标响应情况，甲方将取消合同并依法追究乙方的责任，乙方必须承担由此给甲方带来的一切经济损失及为维护权益所支出的费用包括但不限于诉讼费、律师费。</w:t>
      </w:r>
    </w:p>
    <w:p w14:paraId="41AE2C61">
      <w:pPr>
        <w:pStyle w:val="25"/>
        <w:spacing w:line="360" w:lineRule="auto"/>
        <w:ind w:firstLine="480"/>
        <w:jc w:val="both"/>
        <w:rPr>
          <w:rFonts w:hint="default" w:ascii="仿宋" w:hAnsi="仿宋" w:eastAsia="仿宋" w:cs="仿宋"/>
          <w:sz w:val="24"/>
          <w:szCs w:val="24"/>
        </w:rPr>
      </w:pPr>
      <w:r>
        <w:rPr>
          <w:rFonts w:ascii="仿宋" w:hAnsi="仿宋" w:eastAsia="仿宋" w:cs="仿宋"/>
          <w:color w:val="000000"/>
          <w:sz w:val="24"/>
          <w:szCs w:val="24"/>
        </w:rPr>
        <w:t>3.6  计量校准：按照国家、省市相关规范及行业相关标准要求，需进行计量校准（包括强制检定器具</w:t>
      </w:r>
      <w:r>
        <w:rPr>
          <w:rFonts w:ascii="仿宋" w:hAnsi="仿宋" w:eastAsia="仿宋" w:cs="仿宋"/>
          <w:color w:val="000000"/>
          <w:sz w:val="24"/>
          <w:szCs w:val="24"/>
          <w:lang w:eastAsia="zh-CN"/>
        </w:rPr>
        <w:t>以及</w:t>
      </w:r>
      <w:r>
        <w:rPr>
          <w:rFonts w:ascii="仿宋" w:hAnsi="仿宋" w:eastAsia="仿宋" w:cs="仿宋"/>
          <w:color w:val="000000"/>
          <w:sz w:val="24"/>
          <w:szCs w:val="24"/>
        </w:rPr>
        <w:t>非强制检定器具，检定依据《中华人民共和国计量法》及其实施细则等法律法规执行）的设备及附属设施，需由第三方专业机构进行计量校准及相关检测，检测合格后方可验收。</w:t>
      </w:r>
    </w:p>
    <w:p w14:paraId="5F5B22D7">
      <w:pPr>
        <w:pStyle w:val="25"/>
        <w:spacing w:line="360" w:lineRule="auto"/>
        <w:ind w:firstLine="482"/>
        <w:jc w:val="both"/>
        <w:rPr>
          <w:rFonts w:hint="default" w:ascii="仿宋" w:hAnsi="仿宋" w:eastAsia="仿宋" w:cs="仿宋"/>
          <w:sz w:val="24"/>
          <w:szCs w:val="24"/>
        </w:rPr>
      </w:pPr>
      <w:r>
        <w:rPr>
          <w:rFonts w:ascii="仿宋" w:hAnsi="仿宋" w:eastAsia="仿宋" w:cs="仿宋"/>
          <w:color w:val="000000"/>
          <w:sz w:val="24"/>
          <w:szCs w:val="24"/>
        </w:rPr>
        <w:t>3.7  资料文书：供货时提供整套完整的中文技术文件，包括产品合格证、使用说明书、简明操作流程卡、维修保养手册等。</w:t>
      </w:r>
    </w:p>
    <w:p w14:paraId="25E52ABA">
      <w:pPr>
        <w:pStyle w:val="25"/>
        <w:numPr>
          <w:ilvl w:val="0"/>
          <w:numId w:val="3"/>
        </w:numPr>
        <w:spacing w:line="360" w:lineRule="auto"/>
        <w:ind w:firstLine="480" w:firstLineChars="200"/>
        <w:rPr>
          <w:rFonts w:hint="default" w:ascii="仿宋" w:hAnsi="仿宋" w:eastAsia="仿宋" w:cs="仿宋"/>
          <w:sz w:val="24"/>
          <w:szCs w:val="24"/>
        </w:rPr>
      </w:pPr>
      <w:r>
        <w:rPr>
          <w:rFonts w:ascii="仿宋" w:hAnsi="仿宋" w:eastAsia="仿宋" w:cs="仿宋"/>
          <w:b/>
          <w:color w:val="000000"/>
          <w:sz w:val="24"/>
          <w:szCs w:val="24"/>
        </w:rPr>
        <w:t>技术培训</w:t>
      </w:r>
    </w:p>
    <w:p w14:paraId="6333B20B">
      <w:pPr>
        <w:pStyle w:val="25"/>
        <w:numPr>
          <w:ilvl w:val="0"/>
          <w:numId w:val="7"/>
        </w:numPr>
        <w:spacing w:line="360" w:lineRule="auto"/>
        <w:jc w:val="both"/>
        <w:rPr>
          <w:rFonts w:hint="default" w:ascii="仿宋" w:hAnsi="仿宋" w:eastAsia="仿宋" w:cs="仿宋"/>
          <w:sz w:val="24"/>
          <w:szCs w:val="24"/>
        </w:rPr>
      </w:pPr>
      <w:r>
        <w:rPr>
          <w:rFonts w:ascii="仿宋" w:hAnsi="仿宋" w:eastAsia="仿宋" w:cs="仿宋"/>
          <w:color w:val="000000"/>
          <w:sz w:val="24"/>
          <w:szCs w:val="24"/>
          <w:lang w:eastAsia="zh-CN"/>
        </w:rPr>
        <w:t>乙方在</w:t>
      </w:r>
      <w:r>
        <w:rPr>
          <w:rFonts w:ascii="仿宋" w:hAnsi="仿宋" w:eastAsia="仿宋" w:cs="仿宋"/>
          <w:color w:val="000000"/>
          <w:sz w:val="24"/>
          <w:szCs w:val="24"/>
        </w:rPr>
        <w:t>设备安装时提供操作培训、临床应用培训、清洁消毒培训及维修保养培训等设备使用及日常管理的相关培训，在后续使用中能根据甲方需要提供相关补充培训，确保设备使用维护良好；</w:t>
      </w:r>
    </w:p>
    <w:p w14:paraId="511DD156">
      <w:pPr>
        <w:pStyle w:val="25"/>
        <w:numPr>
          <w:ilvl w:val="0"/>
          <w:numId w:val="7"/>
        </w:numPr>
        <w:spacing w:line="360" w:lineRule="auto"/>
        <w:jc w:val="both"/>
        <w:rPr>
          <w:rFonts w:hint="default" w:ascii="仿宋" w:hAnsi="仿宋" w:eastAsia="仿宋" w:cs="仿宋"/>
          <w:sz w:val="24"/>
          <w:szCs w:val="24"/>
          <w:lang w:eastAsia="zh-CN"/>
        </w:rPr>
      </w:pPr>
      <w:r>
        <w:rPr>
          <w:rFonts w:ascii="仿宋" w:hAnsi="仿宋" w:eastAsia="仿宋" w:cs="仿宋"/>
          <w:color w:val="000000"/>
          <w:sz w:val="24"/>
          <w:szCs w:val="24"/>
        </w:rPr>
        <w:t>维修维护培训：乙方负责对甲方的工程技术人员进行设备维修、保养、巡检、质控等设备后续运维相关的培训，相关费用由乙方承担</w:t>
      </w:r>
      <w:r>
        <w:rPr>
          <w:rFonts w:ascii="仿宋" w:hAnsi="仿宋" w:eastAsia="仿宋" w:cs="仿宋"/>
          <w:color w:val="000000"/>
          <w:sz w:val="24"/>
          <w:szCs w:val="24"/>
          <w:lang w:eastAsia="zh-CN"/>
        </w:rPr>
        <w:t>。</w:t>
      </w:r>
    </w:p>
    <w:p w14:paraId="530633EA">
      <w:pPr>
        <w:pStyle w:val="25"/>
        <w:numPr>
          <w:ilvl w:val="0"/>
          <w:numId w:val="3"/>
        </w:numPr>
        <w:spacing w:line="360" w:lineRule="auto"/>
        <w:ind w:firstLine="480" w:firstLineChars="200"/>
        <w:rPr>
          <w:rFonts w:hint="default" w:ascii="仿宋" w:hAnsi="仿宋" w:eastAsia="仿宋" w:cs="仿宋"/>
          <w:sz w:val="24"/>
          <w:szCs w:val="24"/>
        </w:rPr>
      </w:pPr>
      <w:r>
        <w:rPr>
          <w:rFonts w:ascii="仿宋" w:hAnsi="仿宋" w:eastAsia="仿宋" w:cs="仿宋"/>
          <w:b/>
          <w:color w:val="000000"/>
          <w:sz w:val="24"/>
          <w:szCs w:val="24"/>
        </w:rPr>
        <w:t>售后服务</w:t>
      </w:r>
    </w:p>
    <w:p w14:paraId="483695BC">
      <w:pPr>
        <w:pStyle w:val="25"/>
        <w:numPr>
          <w:ilvl w:val="0"/>
          <w:numId w:val="8"/>
        </w:numPr>
        <w:spacing w:line="360" w:lineRule="auto"/>
        <w:jc w:val="both"/>
        <w:rPr>
          <w:rFonts w:hint="default" w:ascii="仿宋" w:hAnsi="仿宋" w:eastAsia="仿宋" w:cs="仿宋"/>
          <w:color w:val="000000"/>
          <w:sz w:val="24"/>
          <w:szCs w:val="24"/>
        </w:rPr>
      </w:pPr>
      <w:r>
        <w:rPr>
          <w:rFonts w:ascii="仿宋" w:hAnsi="仿宋" w:eastAsia="仿宋" w:cs="仿宋"/>
          <w:color w:val="000000"/>
          <w:sz w:val="24"/>
          <w:szCs w:val="24"/>
        </w:rPr>
        <w:t>保修服务：产品验收合格后，在产品保修期（质保期）内，凡属产品本身引起的故障，乙方负责免费保修，所有费用由乙方承担。如维修无法解决的，应更换新件，维修及更换相关的所有费用由乙方承担。</w:t>
      </w:r>
    </w:p>
    <w:p w14:paraId="0F573689">
      <w:pPr>
        <w:pStyle w:val="25"/>
        <w:numPr>
          <w:ilvl w:val="0"/>
          <w:numId w:val="8"/>
        </w:numPr>
        <w:spacing w:line="360" w:lineRule="auto"/>
        <w:jc w:val="both"/>
        <w:rPr>
          <w:rFonts w:hint="default" w:ascii="仿宋" w:hAnsi="仿宋" w:eastAsia="仿宋" w:cs="仿宋"/>
          <w:sz w:val="24"/>
          <w:szCs w:val="24"/>
        </w:rPr>
      </w:pPr>
      <w:r>
        <w:rPr>
          <w:rFonts w:ascii="仿宋" w:hAnsi="仿宋" w:eastAsia="仿宋" w:cs="仿宋"/>
          <w:color w:val="000000"/>
          <w:sz w:val="24"/>
          <w:szCs w:val="24"/>
        </w:rPr>
        <w:t>保修期：除耗材及易损件外，</w:t>
      </w:r>
      <w:r>
        <w:rPr>
          <w:rFonts w:ascii="仿宋" w:hAnsi="仿宋" w:eastAsia="仿宋" w:cs="仿宋"/>
          <w:color w:val="000000"/>
          <w:sz w:val="24"/>
          <w:szCs w:val="24"/>
          <w:lang w:eastAsia="zh-CN"/>
        </w:rPr>
        <w:t>原厂设备</w:t>
      </w:r>
      <w:r>
        <w:rPr>
          <w:rFonts w:ascii="仿宋" w:hAnsi="仿宋" w:eastAsia="仿宋" w:cs="仿宋"/>
          <w:color w:val="000000"/>
          <w:sz w:val="24"/>
          <w:szCs w:val="24"/>
        </w:rPr>
        <w:t>整机保修</w:t>
      </w:r>
      <w:r>
        <w:rPr>
          <w:rFonts w:ascii="仿宋" w:hAnsi="仿宋" w:eastAsia="仿宋" w:cs="仿宋"/>
          <w:sz w:val="24"/>
          <w:szCs w:val="24"/>
          <w:highlight w:val="none"/>
          <w:u w:val="single"/>
          <w:lang w:eastAsia="zh-CN"/>
        </w:rPr>
        <w:t xml:space="preserve">    </w:t>
      </w:r>
      <w:r>
        <w:rPr>
          <w:rFonts w:ascii="仿宋" w:hAnsi="仿宋" w:eastAsia="仿宋" w:cs="仿宋"/>
          <w:color w:val="000000"/>
          <w:sz w:val="24"/>
          <w:szCs w:val="24"/>
        </w:rPr>
        <w:t>年（365天/年，提供设备原厂盖章的保修函，否则无法办理验收）。保修期从产品验收合格之日起计算。</w:t>
      </w:r>
    </w:p>
    <w:p w14:paraId="4484348C">
      <w:pPr>
        <w:pStyle w:val="25"/>
        <w:numPr>
          <w:ilvl w:val="0"/>
          <w:numId w:val="8"/>
        </w:numPr>
        <w:spacing w:line="360" w:lineRule="auto"/>
        <w:jc w:val="both"/>
        <w:rPr>
          <w:rFonts w:hint="default" w:ascii="仿宋" w:hAnsi="仿宋" w:eastAsia="仿宋" w:cs="仿宋"/>
          <w:sz w:val="24"/>
          <w:szCs w:val="24"/>
        </w:rPr>
      </w:pPr>
      <w:r>
        <w:rPr>
          <w:rFonts w:ascii="仿宋" w:hAnsi="仿宋" w:eastAsia="仿宋" w:cs="仿宋"/>
          <w:color w:val="000000"/>
          <w:sz w:val="24"/>
          <w:szCs w:val="24"/>
        </w:rPr>
        <w:t>若设备发生故障、设备故障报修的，乙方维修人员在接到甲方报修电话后应立即响应，通过电话方式指导排除问题，响应时间</w:t>
      </w:r>
      <w:r>
        <w:rPr>
          <w:rFonts w:ascii="仿宋" w:hAnsi="仿宋" w:eastAsia="仿宋" w:cs="仿宋"/>
          <w:sz w:val="24"/>
          <w:szCs w:val="24"/>
          <w:highlight w:val="none"/>
          <w:u w:val="single"/>
          <w:lang w:eastAsia="zh-CN"/>
        </w:rPr>
        <w:t xml:space="preserve">   </w:t>
      </w:r>
      <w:r>
        <w:rPr>
          <w:rFonts w:ascii="仿宋" w:hAnsi="仿宋" w:eastAsia="仿宋" w:cs="仿宋"/>
          <w:sz w:val="24"/>
          <w:szCs w:val="24"/>
          <w:highlight w:val="none"/>
          <w:u w:val="none"/>
          <w:lang w:eastAsia="zh-CN"/>
        </w:rPr>
        <w:t>小时</w:t>
      </w:r>
      <w:r>
        <w:rPr>
          <w:rFonts w:ascii="仿宋" w:hAnsi="仿宋" w:eastAsia="仿宋" w:cs="仿宋"/>
          <w:color w:val="000000"/>
          <w:sz w:val="24"/>
          <w:szCs w:val="24"/>
          <w:lang w:eastAsia="zh-CN"/>
        </w:rPr>
        <w:t>内</w:t>
      </w:r>
      <w:r>
        <w:rPr>
          <w:rFonts w:ascii="仿宋" w:hAnsi="仿宋" w:eastAsia="仿宋" w:cs="仿宋"/>
          <w:color w:val="000000"/>
          <w:sz w:val="24"/>
          <w:szCs w:val="24"/>
        </w:rPr>
        <w:t>。如电话不能解决问题，维修工程师需在</w:t>
      </w:r>
      <w:r>
        <w:rPr>
          <w:rFonts w:ascii="仿宋" w:hAnsi="仿宋" w:eastAsia="仿宋" w:cs="仿宋"/>
          <w:sz w:val="24"/>
          <w:szCs w:val="24"/>
          <w:highlight w:val="none"/>
          <w:u w:val="single"/>
          <w:lang w:eastAsia="zh-CN"/>
        </w:rPr>
        <w:t xml:space="preserve">    </w:t>
      </w:r>
      <w:r>
        <w:rPr>
          <w:rFonts w:ascii="仿宋" w:hAnsi="仿宋" w:eastAsia="仿宋" w:cs="仿宋"/>
          <w:sz w:val="24"/>
          <w:szCs w:val="24"/>
          <w:highlight w:val="none"/>
          <w:u w:val="none"/>
          <w:lang w:eastAsia="zh-CN"/>
        </w:rPr>
        <w:t>小时</w:t>
      </w:r>
      <w:r>
        <w:rPr>
          <w:rFonts w:ascii="仿宋" w:hAnsi="仿宋" w:eastAsia="仿宋" w:cs="仿宋"/>
          <w:color w:val="000000"/>
          <w:sz w:val="24"/>
          <w:szCs w:val="24"/>
        </w:rPr>
        <w:t>内到达现场提供维修，并排除故障；如遇重大技术问题需及时组织各相关技术人员进行讨论，确定方案，并以最快的速度解决甲方的问题；维修配件能够长期供应，厂家保证在设备停产后备件供应：</w:t>
      </w:r>
      <w:r>
        <w:rPr>
          <w:rFonts w:ascii="仿宋" w:hAnsi="仿宋" w:eastAsia="仿宋" w:cs="仿宋"/>
          <w:sz w:val="24"/>
          <w:szCs w:val="24"/>
          <w:highlight w:val="none"/>
          <w:u w:val="single"/>
          <w:lang w:eastAsia="zh-CN"/>
        </w:rPr>
        <w:t xml:space="preserve">    </w:t>
      </w:r>
      <w:r>
        <w:rPr>
          <w:rFonts w:ascii="仿宋" w:hAnsi="仿宋" w:eastAsia="仿宋" w:cs="仿宋"/>
          <w:color w:val="000000"/>
          <w:sz w:val="24"/>
          <w:szCs w:val="24"/>
        </w:rPr>
        <w:t>年。需另行购买零件材料的（材料应与原材料一致，不一致的应经过甲方批准），乙方必须在三天之内解决，且购买零件材料的费用由乙方承担；需要拆除重装的，乙方必须在一周之内解决。若乙方未按照合同约定履行保修义务或购买原材料的，甲方可以聘请第三方机构维修或自行购买原材料，产生的维修费用或自行购买原材料购买费用由乙方承担。</w:t>
      </w:r>
    </w:p>
    <w:p w14:paraId="04948598">
      <w:pPr>
        <w:pStyle w:val="25"/>
        <w:numPr>
          <w:ilvl w:val="0"/>
          <w:numId w:val="8"/>
        </w:numPr>
        <w:spacing w:line="360" w:lineRule="auto"/>
        <w:jc w:val="both"/>
        <w:rPr>
          <w:rFonts w:hint="default" w:ascii="仿宋" w:hAnsi="仿宋" w:eastAsia="仿宋" w:cs="仿宋"/>
          <w:sz w:val="24"/>
          <w:szCs w:val="24"/>
        </w:rPr>
      </w:pPr>
      <w:r>
        <w:rPr>
          <w:rFonts w:ascii="仿宋" w:hAnsi="仿宋" w:eastAsia="仿宋" w:cs="仿宋"/>
          <w:color w:val="000000"/>
          <w:sz w:val="24"/>
          <w:szCs w:val="24"/>
        </w:rPr>
        <w:t>保修期内由具备设备原厂授权资质的技术人员上门提供设备巡检、保养、质控服务，并提供完整的服务报告，频率</w:t>
      </w:r>
      <w:r>
        <w:rPr>
          <w:rFonts w:ascii="仿宋" w:hAnsi="仿宋" w:eastAsia="仿宋" w:cs="仿宋"/>
          <w:sz w:val="24"/>
          <w:szCs w:val="24"/>
          <w:highlight w:val="none"/>
          <w:u w:val="single"/>
          <w:lang w:eastAsia="zh-CN"/>
        </w:rPr>
        <w:t xml:space="preserve">   次/年</w:t>
      </w:r>
      <w:r>
        <w:rPr>
          <w:rFonts w:ascii="仿宋" w:hAnsi="仿宋" w:eastAsia="仿宋" w:cs="仿宋"/>
          <w:color w:val="000000"/>
          <w:sz w:val="24"/>
          <w:szCs w:val="24"/>
        </w:rPr>
        <w:t>，除耗材及易损件费用外，免收人工费、差旅费、配件费等其他费用。同时，须按照设备维护保养手册及相关规范要求，对设备执行预防性维修及维护保养，频率</w:t>
      </w:r>
      <w:r>
        <w:rPr>
          <w:rFonts w:ascii="仿宋" w:hAnsi="仿宋" w:eastAsia="仿宋" w:cs="仿宋"/>
          <w:sz w:val="24"/>
          <w:szCs w:val="24"/>
          <w:highlight w:val="none"/>
          <w:u w:val="single"/>
          <w:lang w:eastAsia="zh-CN"/>
        </w:rPr>
        <w:t xml:space="preserve">    次/年</w:t>
      </w:r>
      <w:r>
        <w:rPr>
          <w:rFonts w:ascii="仿宋" w:hAnsi="仿宋" w:eastAsia="仿宋" w:cs="仿宋"/>
          <w:color w:val="000000"/>
          <w:sz w:val="24"/>
          <w:szCs w:val="24"/>
        </w:rPr>
        <w:t>；维护保养内容包括但不限于相关保养套件更换、性能检测等，完成后出具书面报告，所更换的保养套件、维护相关材料等费用由</w:t>
      </w:r>
      <w:r>
        <w:rPr>
          <w:rFonts w:ascii="仿宋" w:hAnsi="仿宋" w:eastAsia="仿宋" w:cs="仿宋"/>
          <w:color w:val="000000"/>
          <w:sz w:val="24"/>
          <w:szCs w:val="24"/>
          <w:lang w:eastAsia="zh-CN"/>
        </w:rPr>
        <w:t>乙方</w:t>
      </w:r>
      <w:r>
        <w:rPr>
          <w:rFonts w:ascii="仿宋" w:hAnsi="仿宋" w:eastAsia="仿宋" w:cs="仿宋"/>
          <w:color w:val="000000"/>
          <w:sz w:val="24"/>
          <w:szCs w:val="24"/>
        </w:rPr>
        <w:t>承担。</w:t>
      </w:r>
    </w:p>
    <w:p w14:paraId="135A871F">
      <w:pPr>
        <w:pStyle w:val="25"/>
        <w:numPr>
          <w:ilvl w:val="0"/>
          <w:numId w:val="8"/>
        </w:numPr>
        <w:spacing w:line="360" w:lineRule="auto"/>
        <w:jc w:val="both"/>
        <w:rPr>
          <w:rFonts w:hint="default" w:ascii="仿宋" w:hAnsi="仿宋" w:eastAsia="仿宋" w:cs="仿宋"/>
          <w:sz w:val="24"/>
          <w:szCs w:val="24"/>
        </w:rPr>
      </w:pPr>
      <w:r>
        <w:rPr>
          <w:rFonts w:ascii="仿宋" w:hAnsi="仿宋" w:eastAsia="仿宋" w:cs="仿宋"/>
          <w:color w:val="000000"/>
          <w:sz w:val="24"/>
          <w:szCs w:val="24"/>
        </w:rPr>
        <w:t>软件更新升级：设备保修期内根据厂家发布的最新版本软件随时更新升级，相关费用由乙方承担。</w:t>
      </w:r>
    </w:p>
    <w:p w14:paraId="70170AFF">
      <w:pPr>
        <w:pStyle w:val="25"/>
        <w:numPr>
          <w:ilvl w:val="0"/>
          <w:numId w:val="8"/>
        </w:numPr>
        <w:spacing w:line="360" w:lineRule="auto"/>
        <w:jc w:val="both"/>
        <w:rPr>
          <w:rFonts w:hint="default" w:ascii="仿宋" w:hAnsi="仿宋" w:eastAsia="仿宋" w:cs="仿宋"/>
          <w:sz w:val="24"/>
          <w:szCs w:val="24"/>
        </w:rPr>
      </w:pPr>
      <w:r>
        <w:rPr>
          <w:rFonts w:ascii="仿宋" w:hAnsi="仿宋" w:eastAsia="仿宋" w:cs="仿宋"/>
          <w:color w:val="000000"/>
          <w:sz w:val="24"/>
          <w:szCs w:val="24"/>
        </w:rPr>
        <w:t>计量校准：按照国家、省市相关规范及行业相关标准要求，需进行计量校准（包括强制检定器具</w:t>
      </w:r>
      <w:r>
        <w:rPr>
          <w:rFonts w:ascii="仿宋" w:hAnsi="仿宋" w:eastAsia="仿宋" w:cs="仿宋"/>
          <w:color w:val="000000"/>
          <w:sz w:val="24"/>
          <w:szCs w:val="24"/>
          <w:lang w:eastAsia="zh-CN"/>
        </w:rPr>
        <w:t>以及</w:t>
      </w:r>
      <w:r>
        <w:rPr>
          <w:rFonts w:ascii="仿宋" w:hAnsi="仿宋" w:eastAsia="仿宋" w:cs="仿宋"/>
          <w:color w:val="000000"/>
          <w:sz w:val="24"/>
          <w:szCs w:val="24"/>
        </w:rPr>
        <w:t>非强制检定器具，检定依据《中华人民共和国计量法》及其实施细则等法律法规执行）的设备及附属设施，需由第三方专业机构进行计量校准及相关检测，相关检测费用由乙方承担。</w:t>
      </w:r>
    </w:p>
    <w:p w14:paraId="4392746C">
      <w:pPr>
        <w:pStyle w:val="25"/>
        <w:numPr>
          <w:ilvl w:val="0"/>
          <w:numId w:val="8"/>
        </w:numPr>
        <w:spacing w:line="360" w:lineRule="auto"/>
        <w:jc w:val="both"/>
        <w:rPr>
          <w:rFonts w:hint="default" w:ascii="仿宋" w:hAnsi="仿宋" w:eastAsia="仿宋" w:cs="仿宋"/>
          <w:sz w:val="24"/>
          <w:szCs w:val="24"/>
        </w:rPr>
      </w:pPr>
      <w:r>
        <w:rPr>
          <w:rFonts w:ascii="仿宋" w:hAnsi="仿宋" w:eastAsia="仿宋" w:cs="仿宋"/>
          <w:sz w:val="24"/>
          <w:szCs w:val="24"/>
        </w:rPr>
        <w:t>备品提供：保修期内如设备出现故障，10个工作日内无法修复的，乙方需提供备品给甲方使用。</w:t>
      </w:r>
    </w:p>
    <w:p w14:paraId="20917FE9">
      <w:pPr>
        <w:pStyle w:val="25"/>
        <w:numPr>
          <w:ilvl w:val="0"/>
          <w:numId w:val="3"/>
        </w:numPr>
        <w:spacing w:line="360" w:lineRule="auto"/>
        <w:ind w:firstLine="480" w:firstLineChars="200"/>
        <w:rPr>
          <w:rFonts w:hint="default" w:ascii="仿宋" w:hAnsi="仿宋" w:eastAsia="仿宋" w:cs="仿宋"/>
          <w:sz w:val="24"/>
          <w:szCs w:val="24"/>
        </w:rPr>
      </w:pPr>
      <w:r>
        <w:rPr>
          <w:rFonts w:ascii="仿宋" w:hAnsi="仿宋" w:eastAsia="仿宋" w:cs="仿宋"/>
          <w:b/>
          <w:color w:val="000000"/>
          <w:sz w:val="24"/>
          <w:szCs w:val="24"/>
        </w:rPr>
        <w:t>付款期限和方式</w:t>
      </w:r>
    </w:p>
    <w:p w14:paraId="5AD676EA">
      <w:pPr>
        <w:pStyle w:val="25"/>
        <w:numPr>
          <w:ilvl w:val="0"/>
          <w:numId w:val="9"/>
        </w:numPr>
        <w:spacing w:line="360" w:lineRule="auto"/>
        <w:jc w:val="both"/>
        <w:rPr>
          <w:rFonts w:hint="default" w:ascii="仿宋" w:hAnsi="仿宋" w:eastAsia="仿宋" w:cs="仿宋"/>
          <w:sz w:val="24"/>
          <w:szCs w:val="24"/>
          <w:highlight w:val="none"/>
        </w:rPr>
      </w:pPr>
      <w:r>
        <w:rPr>
          <w:rFonts w:ascii="仿宋" w:hAnsi="仿宋" w:eastAsia="仿宋" w:cs="仿宋"/>
          <w:color w:val="000000"/>
          <w:sz w:val="24"/>
          <w:szCs w:val="24"/>
          <w:highlight w:val="none"/>
        </w:rPr>
        <w:t>合同签订后，全部货物到现场完成安装、调试后安排验收，经验收合格且乙方向甲方开具合法有效的税务发票后</w:t>
      </w:r>
      <w:r>
        <w:rPr>
          <w:rFonts w:ascii="仿宋" w:hAnsi="仿宋" w:eastAsia="仿宋" w:cs="仿宋"/>
          <w:color w:val="000000"/>
          <w:sz w:val="24"/>
          <w:szCs w:val="24"/>
          <w:highlight w:val="none"/>
          <w:u w:val="single"/>
        </w:rPr>
        <w:t xml:space="preserve"> </w:t>
      </w:r>
      <w:r>
        <w:rPr>
          <w:rFonts w:ascii="仿宋" w:hAnsi="仿宋" w:eastAsia="仿宋" w:cs="仿宋"/>
          <w:color w:val="000000"/>
          <w:sz w:val="24"/>
          <w:szCs w:val="24"/>
          <w:highlight w:val="none"/>
          <w:u w:val="single"/>
          <w:lang w:eastAsia="zh-CN"/>
        </w:rPr>
        <w:t xml:space="preserve">   日</w:t>
      </w:r>
      <w:r>
        <w:rPr>
          <w:rFonts w:ascii="仿宋" w:hAnsi="仿宋" w:eastAsia="仿宋" w:cs="仿宋"/>
          <w:color w:val="000000"/>
          <w:sz w:val="24"/>
          <w:szCs w:val="24"/>
          <w:highlight w:val="none"/>
          <w:u w:val="single"/>
        </w:rPr>
        <w:t xml:space="preserve"> </w:t>
      </w:r>
      <w:r>
        <w:rPr>
          <w:rFonts w:ascii="仿宋" w:hAnsi="仿宋" w:eastAsia="仿宋" w:cs="仿宋"/>
          <w:color w:val="000000"/>
          <w:sz w:val="24"/>
          <w:szCs w:val="24"/>
          <w:highlight w:val="none"/>
        </w:rPr>
        <w:t>内</w:t>
      </w:r>
      <w:r>
        <w:rPr>
          <w:rFonts w:ascii="仿宋" w:hAnsi="仿宋" w:eastAsia="仿宋" w:cs="仿宋"/>
          <w:color w:val="000000"/>
          <w:sz w:val="24"/>
          <w:szCs w:val="24"/>
          <w:highlight w:val="none"/>
          <w:lang w:eastAsia="zh-CN"/>
        </w:rPr>
        <w:t>，</w:t>
      </w:r>
      <w:r>
        <w:rPr>
          <w:rFonts w:ascii="仿宋" w:hAnsi="仿宋" w:eastAsia="仿宋" w:cs="仿宋"/>
          <w:color w:val="000000"/>
          <w:sz w:val="24"/>
          <w:szCs w:val="24"/>
          <w:highlight w:val="none"/>
        </w:rPr>
        <w:t>甲方向乙方支付合同总价的</w:t>
      </w:r>
      <w:r>
        <w:rPr>
          <w:rFonts w:ascii="仿宋" w:hAnsi="仿宋" w:eastAsia="仿宋" w:cs="仿宋"/>
          <w:color w:val="000000"/>
          <w:sz w:val="24"/>
          <w:szCs w:val="24"/>
          <w:highlight w:val="none"/>
          <w:u w:val="single"/>
          <w:lang w:eastAsia="zh-CN"/>
        </w:rPr>
        <w:t xml:space="preserve">    </w:t>
      </w:r>
      <w:r>
        <w:rPr>
          <w:rFonts w:ascii="仿宋" w:hAnsi="仿宋" w:eastAsia="仿宋" w:cs="仿宋"/>
          <w:color w:val="000000"/>
          <w:sz w:val="24"/>
          <w:szCs w:val="24"/>
          <w:highlight w:val="none"/>
        </w:rPr>
        <w:t>%</w:t>
      </w:r>
      <w:r>
        <w:rPr>
          <w:rFonts w:ascii="仿宋" w:hAnsi="仿宋" w:eastAsia="仿宋" w:cs="仿宋"/>
          <w:color w:val="000000"/>
          <w:sz w:val="24"/>
          <w:szCs w:val="24"/>
          <w:highlight w:val="none"/>
          <w:lang w:eastAsia="zh-CN"/>
        </w:rPr>
        <w:t>，即</w:t>
      </w:r>
      <w:r>
        <w:rPr>
          <w:rFonts w:ascii="仿宋" w:hAnsi="仿宋" w:eastAsia="仿宋" w:cs="仿宋"/>
          <w:sz w:val="24"/>
          <w:szCs w:val="24"/>
          <w:highlight w:val="none"/>
          <w:u w:val="single"/>
        </w:rPr>
        <w:t>￥</w:t>
      </w:r>
      <w:r>
        <w:rPr>
          <w:rFonts w:ascii="仿宋" w:hAnsi="仿宋" w:eastAsia="仿宋" w:cs="仿宋"/>
          <w:color w:val="000000"/>
          <w:sz w:val="24"/>
          <w:szCs w:val="24"/>
          <w:highlight w:val="none"/>
          <w:u w:val="single"/>
          <w:lang w:eastAsia="zh-CN"/>
        </w:rPr>
        <w:t xml:space="preserve">    </w:t>
      </w:r>
      <w:r>
        <w:rPr>
          <w:rFonts w:ascii="仿宋" w:hAnsi="仿宋" w:eastAsia="仿宋" w:cs="仿宋"/>
          <w:sz w:val="24"/>
          <w:szCs w:val="24"/>
          <w:highlight w:val="none"/>
          <w:u w:val="single"/>
          <w:lang w:eastAsia="zh-CN"/>
        </w:rPr>
        <w:t>（人民币 万 仟 佰元整）</w:t>
      </w:r>
      <w:r>
        <w:rPr>
          <w:rFonts w:ascii="仿宋" w:hAnsi="仿宋" w:eastAsia="仿宋" w:cs="仿宋"/>
          <w:color w:val="000000"/>
          <w:sz w:val="24"/>
          <w:szCs w:val="24"/>
          <w:highlight w:val="none"/>
          <w:lang w:eastAsia="zh-CN"/>
        </w:rPr>
        <w:t>。</w:t>
      </w:r>
    </w:p>
    <w:p w14:paraId="72AE2C9C">
      <w:pPr>
        <w:pStyle w:val="25"/>
        <w:numPr>
          <w:ilvl w:val="0"/>
          <w:numId w:val="9"/>
        </w:numPr>
        <w:spacing w:line="360" w:lineRule="auto"/>
        <w:jc w:val="both"/>
        <w:rPr>
          <w:rFonts w:hint="default" w:ascii="仿宋" w:hAnsi="仿宋" w:eastAsia="仿宋" w:cs="仿宋"/>
          <w:color w:val="000000"/>
          <w:sz w:val="24"/>
          <w:szCs w:val="24"/>
        </w:rPr>
      </w:pPr>
      <w:r>
        <w:rPr>
          <w:rFonts w:ascii="仿宋" w:hAnsi="仿宋" w:eastAsia="仿宋" w:cs="仿宋"/>
          <w:color w:val="000000"/>
          <w:sz w:val="24"/>
          <w:szCs w:val="24"/>
        </w:rPr>
        <w:t>以上付款时间指以乙方提供合法合规发票为前提，如因乙方发票未按期提供或发票不合规等原因，甲方有权延期付款，由乙方承担由此造成的一切损失；甲方按照合同约定账户进行付款，因乙方账户原因导致乙方无法及时收款的，甲方不承担责任。甲方不承担因财政拨付延迟、财务审核等原因的付款延迟的责任。</w:t>
      </w:r>
    </w:p>
    <w:p w14:paraId="2E0B05A3">
      <w:pPr>
        <w:pStyle w:val="25"/>
        <w:numPr>
          <w:ilvl w:val="0"/>
          <w:numId w:val="9"/>
        </w:numPr>
        <w:spacing w:line="360" w:lineRule="auto"/>
        <w:jc w:val="both"/>
        <w:rPr>
          <w:rFonts w:hint="default" w:ascii="仿宋" w:hAnsi="仿宋" w:eastAsia="仿宋" w:cs="仿宋"/>
          <w:b/>
          <w:bCs/>
          <w:sz w:val="24"/>
          <w:szCs w:val="24"/>
        </w:rPr>
      </w:pPr>
      <w:r>
        <w:rPr>
          <w:rFonts w:ascii="仿宋" w:hAnsi="仿宋" w:eastAsia="仿宋" w:cs="仿宋"/>
          <w:color w:val="000000"/>
          <w:sz w:val="24"/>
          <w:szCs w:val="24"/>
        </w:rPr>
        <w:t>支付方式</w:t>
      </w:r>
      <w:r>
        <w:rPr>
          <w:rFonts w:ascii="仿宋" w:hAnsi="仿宋" w:eastAsia="仿宋" w:cs="仿宋"/>
          <w:color w:val="000000"/>
          <w:sz w:val="24"/>
          <w:szCs w:val="24"/>
          <w:lang w:eastAsia="zh-CN"/>
        </w:rPr>
        <w:t>：</w:t>
      </w:r>
      <w:r>
        <w:rPr>
          <w:rFonts w:ascii="仿宋" w:hAnsi="仿宋" w:eastAsia="仿宋" w:cs="仿宋"/>
          <w:color w:val="000000"/>
          <w:sz w:val="24"/>
          <w:szCs w:val="24"/>
        </w:rPr>
        <w:t>采用银行转账支付</w:t>
      </w:r>
      <w:r>
        <w:rPr>
          <w:rFonts w:ascii="仿宋" w:hAnsi="仿宋" w:eastAsia="仿宋" w:cs="仿宋"/>
          <w:color w:val="000000"/>
          <w:sz w:val="24"/>
          <w:szCs w:val="24"/>
          <w:lang w:eastAsia="zh-CN"/>
        </w:rPr>
        <w:t>，</w:t>
      </w:r>
      <w:r>
        <w:rPr>
          <w:rFonts w:ascii="仿宋" w:hAnsi="仿宋" w:eastAsia="仿宋" w:cs="仿宋"/>
          <w:color w:val="000000"/>
          <w:sz w:val="24"/>
          <w:szCs w:val="24"/>
        </w:rPr>
        <w:t>乙方账号</w:t>
      </w:r>
      <w:r>
        <w:rPr>
          <w:rFonts w:ascii="仿宋" w:hAnsi="仿宋" w:eastAsia="仿宋" w:cs="仿宋"/>
          <w:color w:val="000000"/>
          <w:sz w:val="24"/>
          <w:szCs w:val="24"/>
          <w:lang w:eastAsia="zh-CN"/>
        </w:rPr>
        <w:t>信息</w:t>
      </w:r>
      <w:r>
        <w:rPr>
          <w:rFonts w:ascii="仿宋" w:hAnsi="仿宋" w:eastAsia="仿宋" w:cs="仿宋"/>
          <w:color w:val="000000"/>
          <w:sz w:val="24"/>
          <w:szCs w:val="24"/>
        </w:rPr>
        <w:t>：</w:t>
      </w:r>
    </w:p>
    <w:p w14:paraId="7A754CAE">
      <w:pPr>
        <w:pStyle w:val="25"/>
        <w:snapToGrid w:val="0"/>
        <w:spacing w:line="360" w:lineRule="auto"/>
        <w:ind w:firstLine="482"/>
        <w:rPr>
          <w:rFonts w:hint="default" w:ascii="仿宋" w:hAnsi="仿宋" w:eastAsia="仿宋" w:cs="仿宋"/>
          <w:sz w:val="24"/>
          <w:szCs w:val="24"/>
          <w:highlight w:val="none"/>
          <w:u w:val="single"/>
          <w:lang w:eastAsia="zh-CN"/>
        </w:rPr>
      </w:pPr>
      <w:r>
        <w:rPr>
          <w:rFonts w:ascii="仿宋" w:hAnsi="仿宋" w:eastAsia="仿宋" w:cs="仿宋"/>
          <w:color w:val="000000"/>
          <w:sz w:val="24"/>
          <w:szCs w:val="24"/>
        </w:rPr>
        <w:t>账户名称：</w:t>
      </w:r>
      <w:r>
        <w:rPr>
          <w:rFonts w:ascii="仿宋" w:hAnsi="仿宋" w:eastAsia="仿宋" w:cs="仿宋"/>
          <w:sz w:val="24"/>
          <w:szCs w:val="24"/>
          <w:highlight w:val="none"/>
          <w:u w:val="single"/>
          <w:lang w:eastAsia="zh-CN"/>
        </w:rPr>
        <w:t xml:space="preserve">                           </w:t>
      </w:r>
    </w:p>
    <w:p w14:paraId="57728557">
      <w:pPr>
        <w:pStyle w:val="25"/>
        <w:snapToGrid w:val="0"/>
        <w:spacing w:line="360" w:lineRule="auto"/>
        <w:ind w:firstLine="482"/>
        <w:rPr>
          <w:rFonts w:hint="default" w:ascii="仿宋" w:hAnsi="仿宋" w:eastAsia="仿宋" w:cs="仿宋"/>
          <w:color w:val="000000"/>
          <w:sz w:val="24"/>
          <w:szCs w:val="24"/>
          <w:lang w:eastAsia="zh-CN"/>
        </w:rPr>
      </w:pPr>
      <w:r>
        <w:rPr>
          <w:rFonts w:ascii="仿宋" w:hAnsi="仿宋" w:eastAsia="仿宋" w:cs="仿宋"/>
          <w:color w:val="000000"/>
          <w:sz w:val="24"/>
          <w:szCs w:val="24"/>
        </w:rPr>
        <w:t>开户行：</w:t>
      </w:r>
      <w:r>
        <w:rPr>
          <w:rFonts w:ascii="仿宋" w:hAnsi="仿宋" w:eastAsia="仿宋" w:cs="仿宋"/>
          <w:sz w:val="24"/>
          <w:szCs w:val="24"/>
          <w:highlight w:val="none"/>
          <w:u w:val="single"/>
          <w:lang w:eastAsia="zh-CN"/>
        </w:rPr>
        <w:t xml:space="preserve">                             </w:t>
      </w:r>
    </w:p>
    <w:p w14:paraId="2E80FB86">
      <w:pPr>
        <w:pStyle w:val="25"/>
        <w:snapToGrid w:val="0"/>
        <w:spacing w:line="360" w:lineRule="auto"/>
        <w:ind w:firstLine="482"/>
        <w:jc w:val="both"/>
        <w:rPr>
          <w:rFonts w:hint="default" w:ascii="仿宋" w:hAnsi="仿宋" w:eastAsia="仿宋" w:cs="仿宋"/>
          <w:color w:val="000000"/>
          <w:sz w:val="24"/>
          <w:szCs w:val="24"/>
          <w:u w:val="single"/>
          <w:shd w:val="clear" w:color="auto" w:fill="FFFF00"/>
          <w:lang w:eastAsia="zh-CN"/>
        </w:rPr>
      </w:pPr>
      <w:r>
        <w:rPr>
          <w:rFonts w:ascii="仿宋" w:hAnsi="仿宋" w:eastAsia="仿宋" w:cs="仿宋"/>
          <w:color w:val="000000"/>
          <w:sz w:val="24"/>
          <w:szCs w:val="24"/>
        </w:rPr>
        <w:t>乙方账号：</w:t>
      </w:r>
      <w:r>
        <w:rPr>
          <w:rFonts w:ascii="仿宋" w:hAnsi="仿宋" w:eastAsia="仿宋" w:cs="仿宋"/>
          <w:sz w:val="24"/>
          <w:szCs w:val="24"/>
          <w:highlight w:val="none"/>
          <w:u w:val="single"/>
          <w:lang w:eastAsia="zh-CN"/>
        </w:rPr>
        <w:t xml:space="preserve">                          </w:t>
      </w:r>
    </w:p>
    <w:p w14:paraId="3212FE4C">
      <w:pPr>
        <w:pStyle w:val="25"/>
        <w:numPr>
          <w:ilvl w:val="0"/>
          <w:numId w:val="3"/>
        </w:numPr>
        <w:spacing w:line="360" w:lineRule="auto"/>
        <w:ind w:firstLine="480" w:firstLineChars="200"/>
        <w:rPr>
          <w:rFonts w:hint="default" w:ascii="仿宋" w:hAnsi="仿宋" w:eastAsia="仿宋" w:cs="仿宋"/>
          <w:sz w:val="24"/>
          <w:szCs w:val="24"/>
        </w:rPr>
      </w:pPr>
      <w:r>
        <w:rPr>
          <w:rFonts w:ascii="仿宋" w:hAnsi="仿宋" w:eastAsia="仿宋" w:cs="仿宋"/>
          <w:b/>
          <w:color w:val="000000"/>
          <w:sz w:val="24"/>
          <w:szCs w:val="24"/>
        </w:rPr>
        <w:t>违约责任</w:t>
      </w:r>
    </w:p>
    <w:p w14:paraId="3A1C6C79">
      <w:pPr>
        <w:pStyle w:val="25"/>
        <w:numPr>
          <w:ilvl w:val="0"/>
          <w:numId w:val="10"/>
        </w:numPr>
        <w:spacing w:line="360" w:lineRule="auto"/>
        <w:jc w:val="both"/>
        <w:rPr>
          <w:rFonts w:hint="default" w:ascii="仿宋" w:hAnsi="仿宋" w:eastAsia="仿宋" w:cs="仿宋"/>
          <w:sz w:val="24"/>
          <w:szCs w:val="24"/>
          <w:lang w:eastAsia="zh-CN" w:bidi="ar"/>
        </w:rPr>
      </w:pPr>
      <w:r>
        <w:rPr>
          <w:rFonts w:ascii="仿宋" w:hAnsi="仿宋" w:eastAsia="仿宋" w:cs="仿宋"/>
          <w:color w:val="000000"/>
          <w:sz w:val="24"/>
          <w:szCs w:val="24"/>
        </w:rPr>
        <w:t>乙方</w:t>
      </w:r>
      <w:r>
        <w:rPr>
          <w:rFonts w:ascii="仿宋" w:hAnsi="仿宋" w:eastAsia="仿宋" w:cs="仿宋"/>
          <w:color w:val="000000"/>
          <w:sz w:val="24"/>
          <w:szCs w:val="24"/>
          <w:lang w:eastAsia="zh-CN"/>
        </w:rPr>
        <w:t>的违约</w:t>
      </w:r>
      <w:r>
        <w:rPr>
          <w:rFonts w:ascii="仿宋" w:hAnsi="仿宋" w:eastAsia="仿宋" w:cs="仿宋"/>
          <w:sz w:val="24"/>
          <w:szCs w:val="24"/>
          <w:lang w:eastAsia="zh-CN" w:bidi="ar"/>
        </w:rPr>
        <w:t>责任</w:t>
      </w:r>
    </w:p>
    <w:p w14:paraId="309D1713">
      <w:pPr>
        <w:pStyle w:val="25"/>
        <w:spacing w:line="360" w:lineRule="auto"/>
        <w:ind w:firstLine="480"/>
        <w:jc w:val="both"/>
        <w:rPr>
          <w:rFonts w:hint="default" w:ascii="仿宋" w:hAnsi="仿宋" w:eastAsia="仿宋" w:cs="仿宋"/>
          <w:sz w:val="24"/>
          <w:szCs w:val="24"/>
        </w:rPr>
      </w:pPr>
      <w:r>
        <w:rPr>
          <w:rFonts w:ascii="仿宋" w:hAnsi="仿宋" w:eastAsia="仿宋" w:cs="仿宋"/>
          <w:color w:val="000000"/>
          <w:sz w:val="24"/>
          <w:szCs w:val="24"/>
        </w:rPr>
        <w:t>1.乙方逾期交货（包括零部件）的，按总货款计算，向甲方偿付每日万分之五的违约金，并承担甲方因此所</w:t>
      </w:r>
      <w:r>
        <w:rPr>
          <w:rFonts w:ascii="仿宋" w:hAnsi="仿宋" w:eastAsia="仿宋" w:cs="仿宋"/>
          <w:color w:val="000000"/>
          <w:sz w:val="24"/>
          <w:szCs w:val="24"/>
          <w:lang w:eastAsia="zh-CN"/>
        </w:rPr>
        <w:t>受到</w:t>
      </w:r>
      <w:r>
        <w:rPr>
          <w:rFonts w:ascii="仿宋" w:hAnsi="仿宋" w:eastAsia="仿宋" w:cs="仿宋"/>
          <w:color w:val="000000"/>
          <w:sz w:val="24"/>
          <w:szCs w:val="24"/>
        </w:rPr>
        <w:t>的损失费用；乙方逾期交货超过</w:t>
      </w:r>
      <w:r>
        <w:rPr>
          <w:rFonts w:ascii="仿宋" w:hAnsi="仿宋" w:eastAsia="仿宋" w:cs="仿宋"/>
          <w:sz w:val="24"/>
          <w:szCs w:val="24"/>
          <w:highlight w:val="none"/>
          <w:u w:val="single"/>
          <w:lang w:eastAsia="zh-CN"/>
        </w:rPr>
        <w:t xml:space="preserve">    </w:t>
      </w:r>
      <w:r>
        <w:rPr>
          <w:rFonts w:ascii="仿宋" w:hAnsi="仿宋" w:eastAsia="仿宋" w:cs="仿宋"/>
          <w:color w:val="000000"/>
          <w:sz w:val="24"/>
          <w:szCs w:val="24"/>
        </w:rPr>
        <w:t>天，乙方经甲方书面通知后仍未交货，视为乙方不能交货；乙方不能交货的，甲方有权拒付乙方剩余货款，乙方应向甲方偿付相当于总货款的</w:t>
      </w:r>
      <w:r>
        <w:rPr>
          <w:rFonts w:ascii="仿宋" w:hAnsi="仿宋" w:eastAsia="仿宋" w:cs="仿宋"/>
          <w:sz w:val="24"/>
          <w:szCs w:val="24"/>
          <w:highlight w:val="none"/>
          <w:u w:val="single"/>
          <w:lang w:eastAsia="zh-CN"/>
        </w:rPr>
        <w:t xml:space="preserve">    </w:t>
      </w:r>
      <w:r>
        <w:rPr>
          <w:rFonts w:ascii="仿宋" w:hAnsi="仿宋" w:eastAsia="仿宋" w:cs="仿宋"/>
          <w:color w:val="000000"/>
          <w:sz w:val="24"/>
          <w:szCs w:val="24"/>
          <w:lang w:eastAsia="zh-CN"/>
        </w:rPr>
        <w:t>%</w:t>
      </w:r>
      <w:r>
        <w:rPr>
          <w:rFonts w:ascii="仿宋" w:hAnsi="仿宋" w:eastAsia="仿宋" w:cs="仿宋"/>
          <w:color w:val="000000"/>
          <w:sz w:val="24"/>
          <w:szCs w:val="24"/>
        </w:rPr>
        <w:t>的违约金，且甲方有权</w:t>
      </w:r>
      <w:r>
        <w:rPr>
          <w:rFonts w:ascii="仿宋" w:hAnsi="仿宋" w:eastAsia="仿宋" w:cs="仿宋"/>
          <w:color w:val="000000"/>
          <w:sz w:val="24"/>
          <w:szCs w:val="24"/>
          <w:lang w:eastAsia="zh-CN"/>
        </w:rPr>
        <w:t>单方</w:t>
      </w:r>
      <w:r>
        <w:rPr>
          <w:rFonts w:ascii="仿宋" w:hAnsi="仿宋" w:eastAsia="仿宋" w:cs="仿宋"/>
          <w:color w:val="000000"/>
          <w:sz w:val="24"/>
          <w:szCs w:val="24"/>
        </w:rPr>
        <w:t>解除合同，乙方还应当退回甲方已经支付的所有款项。乙方因特殊原因无法按时交货的，经甲方同意后方可延迟送货，并与甲方确定新的交货期，免除</w:t>
      </w:r>
      <w:r>
        <w:rPr>
          <w:rFonts w:ascii="仿宋" w:hAnsi="仿宋" w:eastAsia="仿宋" w:cs="仿宋"/>
          <w:color w:val="000000"/>
          <w:sz w:val="24"/>
          <w:szCs w:val="24"/>
          <w:lang w:eastAsia="zh-CN"/>
        </w:rPr>
        <w:t>此</w:t>
      </w:r>
      <w:r>
        <w:rPr>
          <w:rFonts w:ascii="仿宋" w:hAnsi="仿宋" w:eastAsia="仿宋" w:cs="仿宋"/>
          <w:color w:val="000000"/>
          <w:sz w:val="24"/>
          <w:szCs w:val="24"/>
        </w:rPr>
        <w:t>违约责任。</w:t>
      </w:r>
    </w:p>
    <w:p w14:paraId="33156E47">
      <w:pPr>
        <w:pStyle w:val="25"/>
        <w:spacing w:line="360" w:lineRule="auto"/>
        <w:ind w:firstLine="463"/>
        <w:jc w:val="both"/>
        <w:rPr>
          <w:rFonts w:hint="default" w:ascii="仿宋" w:hAnsi="仿宋" w:eastAsia="仿宋" w:cs="仿宋"/>
          <w:sz w:val="24"/>
          <w:szCs w:val="24"/>
        </w:rPr>
      </w:pPr>
      <w:r>
        <w:rPr>
          <w:rFonts w:ascii="仿宋" w:hAnsi="仿宋" w:eastAsia="仿宋" w:cs="仿宋"/>
          <w:color w:val="000000"/>
          <w:sz w:val="24"/>
          <w:szCs w:val="24"/>
        </w:rPr>
        <w:t>2.</w:t>
      </w:r>
      <w:r>
        <w:rPr>
          <w:rFonts w:ascii="仿宋" w:hAnsi="仿宋" w:eastAsia="仿宋" w:cs="仿宋"/>
          <w:sz w:val="24"/>
          <w:szCs w:val="24"/>
        </w:rPr>
        <w:t xml:space="preserve"> </w:t>
      </w:r>
      <w:r>
        <w:rPr>
          <w:rFonts w:ascii="仿宋" w:hAnsi="仿宋" w:eastAsia="仿宋" w:cs="仿宋"/>
          <w:color w:val="000000"/>
          <w:sz w:val="24"/>
          <w:szCs w:val="24"/>
        </w:rPr>
        <w:t>乙方所交产品（包括零部件）品种、数量、规格、型号、质量、技术参数及配置不符合国家法律法规、招标文件、投标文件及合同规定的，甲方有权拒绝收货，由乙方负责包换或退货，并承担由此而支付的实际费用。换货的再次交货时间超过合同交货时间的视为逾期交货，退货的视为不能交货，则由乙方承担逾期交货、不能交货的违约责任。</w:t>
      </w:r>
    </w:p>
    <w:p w14:paraId="5C1E071C">
      <w:pPr>
        <w:pStyle w:val="25"/>
        <w:spacing w:line="360" w:lineRule="auto"/>
        <w:ind w:firstLine="463"/>
        <w:jc w:val="both"/>
        <w:rPr>
          <w:rFonts w:hint="default" w:ascii="仿宋" w:hAnsi="仿宋" w:eastAsia="仿宋" w:cs="仿宋"/>
          <w:sz w:val="24"/>
          <w:szCs w:val="24"/>
        </w:rPr>
      </w:pPr>
      <w:r>
        <w:rPr>
          <w:rFonts w:ascii="仿宋" w:hAnsi="仿宋" w:eastAsia="仿宋" w:cs="仿宋"/>
          <w:color w:val="000000"/>
          <w:sz w:val="24"/>
          <w:szCs w:val="24"/>
        </w:rPr>
        <w:t>3.产品验收不合格导致逾期交货（包括零部件）的，乙方应承担逾期交货的违约责任；验收不合格的次数达到</w:t>
      </w:r>
      <w:r>
        <w:rPr>
          <w:rFonts w:ascii="仿宋" w:hAnsi="仿宋" w:eastAsia="仿宋" w:cs="仿宋"/>
          <w:sz w:val="24"/>
          <w:szCs w:val="24"/>
          <w:highlight w:val="none"/>
          <w:u w:val="single"/>
          <w:lang w:eastAsia="zh-CN"/>
        </w:rPr>
        <w:t xml:space="preserve">   </w:t>
      </w:r>
      <w:r>
        <w:rPr>
          <w:rFonts w:ascii="仿宋" w:hAnsi="仿宋" w:eastAsia="仿宋" w:cs="仿宋"/>
          <w:color w:val="000000"/>
          <w:sz w:val="24"/>
          <w:szCs w:val="24"/>
        </w:rPr>
        <w:t>次以上的，乙方应承担不能交货的违约责任</w:t>
      </w:r>
      <w:r>
        <w:rPr>
          <w:rFonts w:ascii="仿宋" w:hAnsi="仿宋" w:eastAsia="仿宋" w:cs="仿宋"/>
          <w:color w:val="000000"/>
          <w:sz w:val="24"/>
          <w:szCs w:val="24"/>
          <w:lang w:eastAsia="zh-CN"/>
        </w:rPr>
        <w:t>，并</w:t>
      </w:r>
      <w:r>
        <w:rPr>
          <w:rFonts w:ascii="仿宋" w:hAnsi="仿宋" w:eastAsia="仿宋" w:cs="仿宋"/>
          <w:color w:val="000000"/>
          <w:sz w:val="24"/>
          <w:szCs w:val="24"/>
        </w:rPr>
        <w:t>向甲方偿付相当于总货款</w:t>
      </w:r>
      <w:r>
        <w:rPr>
          <w:rFonts w:ascii="仿宋" w:hAnsi="仿宋" w:eastAsia="仿宋" w:cs="仿宋"/>
          <w:sz w:val="24"/>
          <w:szCs w:val="24"/>
          <w:highlight w:val="none"/>
          <w:u w:val="single"/>
          <w:lang w:eastAsia="zh-CN"/>
        </w:rPr>
        <w:t xml:space="preserve">    </w:t>
      </w:r>
      <w:r>
        <w:rPr>
          <w:rFonts w:ascii="仿宋" w:hAnsi="仿宋" w:eastAsia="仿宋" w:cs="仿宋"/>
          <w:color w:val="000000"/>
          <w:sz w:val="24"/>
          <w:szCs w:val="24"/>
          <w:lang w:eastAsia="zh-CN"/>
        </w:rPr>
        <w:t>%</w:t>
      </w:r>
      <w:r>
        <w:rPr>
          <w:rFonts w:ascii="仿宋" w:hAnsi="仿宋" w:eastAsia="仿宋" w:cs="仿宋"/>
          <w:color w:val="000000"/>
          <w:sz w:val="24"/>
          <w:szCs w:val="24"/>
        </w:rPr>
        <w:t>的违约金及退回甲方已经支付的所有款项，且甲方有权</w:t>
      </w:r>
      <w:r>
        <w:rPr>
          <w:rFonts w:ascii="仿宋" w:hAnsi="仿宋" w:eastAsia="仿宋" w:cs="仿宋"/>
          <w:color w:val="000000"/>
          <w:sz w:val="24"/>
          <w:szCs w:val="24"/>
          <w:lang w:eastAsia="zh-CN"/>
        </w:rPr>
        <w:t>单方</w:t>
      </w:r>
      <w:r>
        <w:rPr>
          <w:rFonts w:ascii="仿宋" w:hAnsi="仿宋" w:eastAsia="仿宋" w:cs="仿宋"/>
          <w:color w:val="000000"/>
          <w:sz w:val="24"/>
          <w:szCs w:val="24"/>
        </w:rPr>
        <w:t>解除合同。</w:t>
      </w:r>
    </w:p>
    <w:p w14:paraId="3F364978">
      <w:pPr>
        <w:pStyle w:val="25"/>
        <w:spacing w:line="360" w:lineRule="auto"/>
        <w:ind w:firstLine="463"/>
        <w:jc w:val="both"/>
        <w:rPr>
          <w:rFonts w:hint="default" w:ascii="仿宋" w:hAnsi="仿宋" w:eastAsia="仿宋" w:cs="仿宋"/>
          <w:sz w:val="24"/>
          <w:szCs w:val="24"/>
        </w:rPr>
      </w:pPr>
      <w:r>
        <w:rPr>
          <w:rFonts w:ascii="仿宋" w:hAnsi="仿宋" w:eastAsia="仿宋" w:cs="仿宋"/>
          <w:color w:val="000000"/>
          <w:sz w:val="24"/>
          <w:szCs w:val="24"/>
        </w:rPr>
        <w:t>4. 如乙方违约，除应赔偿甲方损失并按本合同约定承担违约责任外，还应承担甲方为主张本合同权利而产生的相关费用，包括但不限于差旅费、评估费、律师费、诉讼费、财产保全申请费、担保费，公证费等。</w:t>
      </w:r>
    </w:p>
    <w:p w14:paraId="3E1520AC">
      <w:pPr>
        <w:pStyle w:val="25"/>
        <w:spacing w:line="360" w:lineRule="auto"/>
        <w:ind w:firstLine="480"/>
        <w:jc w:val="both"/>
        <w:rPr>
          <w:rFonts w:hint="default" w:ascii="仿宋" w:hAnsi="仿宋" w:eastAsia="仿宋" w:cs="仿宋"/>
          <w:color w:val="000000"/>
          <w:sz w:val="24"/>
          <w:szCs w:val="24"/>
        </w:rPr>
      </w:pPr>
      <w:r>
        <w:rPr>
          <w:rFonts w:ascii="仿宋" w:hAnsi="仿宋" w:eastAsia="仿宋" w:cs="仿宋"/>
          <w:color w:val="000000"/>
          <w:sz w:val="24"/>
          <w:szCs w:val="24"/>
        </w:rPr>
        <w:t>5.乙方违反合同约定将合同项下工作分包、转包的，甲方有权</w:t>
      </w:r>
      <w:r>
        <w:rPr>
          <w:rFonts w:ascii="仿宋" w:hAnsi="仿宋" w:eastAsia="仿宋" w:cs="仿宋"/>
          <w:color w:val="000000"/>
          <w:sz w:val="24"/>
          <w:szCs w:val="24"/>
          <w:lang w:eastAsia="zh-CN"/>
        </w:rPr>
        <w:t>单方</w:t>
      </w:r>
      <w:r>
        <w:rPr>
          <w:rFonts w:ascii="仿宋" w:hAnsi="仿宋" w:eastAsia="仿宋" w:cs="仿宋"/>
          <w:color w:val="000000"/>
          <w:sz w:val="24"/>
          <w:szCs w:val="24"/>
        </w:rPr>
        <w:t>解除合同，终止款项支付，并要求乙方承担合同金额</w:t>
      </w:r>
      <w:r>
        <w:rPr>
          <w:rFonts w:ascii="仿宋" w:hAnsi="仿宋" w:eastAsia="仿宋" w:cs="仿宋"/>
          <w:sz w:val="24"/>
          <w:szCs w:val="24"/>
          <w:highlight w:val="none"/>
          <w:u w:val="single"/>
          <w:lang w:eastAsia="zh-CN"/>
        </w:rPr>
        <w:t xml:space="preserve">   </w:t>
      </w:r>
      <w:r>
        <w:rPr>
          <w:rFonts w:ascii="仿宋" w:hAnsi="仿宋" w:eastAsia="仿宋" w:cs="仿宋"/>
          <w:color w:val="000000"/>
          <w:sz w:val="24"/>
          <w:szCs w:val="24"/>
          <w:lang w:eastAsia="zh-CN"/>
        </w:rPr>
        <w:t>%</w:t>
      </w:r>
      <w:r>
        <w:rPr>
          <w:rFonts w:ascii="仿宋" w:hAnsi="仿宋" w:eastAsia="仿宋" w:cs="仿宋"/>
          <w:color w:val="000000"/>
          <w:sz w:val="24"/>
          <w:szCs w:val="24"/>
        </w:rPr>
        <w:t>的违约金。</w:t>
      </w:r>
    </w:p>
    <w:p w14:paraId="037E39DD">
      <w:pPr>
        <w:pStyle w:val="25"/>
        <w:numPr>
          <w:ilvl w:val="0"/>
          <w:numId w:val="10"/>
        </w:numPr>
        <w:spacing w:line="360" w:lineRule="auto"/>
        <w:jc w:val="both"/>
        <w:rPr>
          <w:rFonts w:hint="default" w:ascii="仿宋" w:hAnsi="仿宋" w:eastAsia="仿宋" w:cs="仿宋"/>
          <w:color w:val="000000"/>
          <w:sz w:val="24"/>
          <w:szCs w:val="24"/>
          <w:lang w:eastAsia="zh-CN"/>
        </w:rPr>
      </w:pPr>
      <w:r>
        <w:rPr>
          <w:rFonts w:ascii="仿宋" w:hAnsi="仿宋" w:eastAsia="仿宋" w:cs="仿宋"/>
          <w:color w:val="000000"/>
          <w:sz w:val="24"/>
          <w:szCs w:val="24"/>
          <w:lang w:eastAsia="zh-CN"/>
        </w:rPr>
        <w:t>甲方</w:t>
      </w:r>
      <w:r>
        <w:rPr>
          <w:rFonts w:ascii="仿宋" w:hAnsi="仿宋" w:eastAsia="仿宋" w:cs="仿宋"/>
          <w:sz w:val="24"/>
          <w:szCs w:val="24"/>
          <w:lang w:eastAsia="zh-CN" w:bidi="ar"/>
        </w:rPr>
        <w:t>的违约责任</w:t>
      </w:r>
    </w:p>
    <w:p w14:paraId="51DEA7D6">
      <w:pPr>
        <w:pStyle w:val="25"/>
        <w:spacing w:line="360" w:lineRule="auto"/>
        <w:ind w:firstLine="480"/>
        <w:jc w:val="both"/>
        <w:rPr>
          <w:rFonts w:hint="default" w:ascii="仿宋" w:hAnsi="仿宋" w:eastAsia="仿宋" w:cs="仿宋"/>
          <w:sz w:val="24"/>
          <w:szCs w:val="24"/>
        </w:rPr>
      </w:pPr>
      <w:r>
        <w:rPr>
          <w:rFonts w:ascii="仿宋" w:hAnsi="仿宋" w:eastAsia="仿宋" w:cs="仿宋"/>
          <w:color w:val="000000"/>
          <w:sz w:val="24"/>
          <w:szCs w:val="24"/>
        </w:rPr>
        <w:t>甲方无正当理由拒绝</w:t>
      </w:r>
      <w:r>
        <w:rPr>
          <w:rFonts w:ascii="仿宋" w:hAnsi="仿宋" w:eastAsia="仿宋" w:cs="仿宋"/>
          <w:color w:val="000000"/>
          <w:sz w:val="24"/>
          <w:szCs w:val="24"/>
          <w:lang w:eastAsia="zh-CN"/>
        </w:rPr>
        <w:t>收</w:t>
      </w:r>
      <w:r>
        <w:rPr>
          <w:rFonts w:ascii="仿宋" w:hAnsi="仿宋" w:eastAsia="仿宋" w:cs="仿宋"/>
          <w:color w:val="000000"/>
          <w:sz w:val="24"/>
          <w:szCs w:val="24"/>
        </w:rPr>
        <w:t>货的，应当承担由此对乙方造成的损失，并向乙方偿付拒绝接收部分货款的</w:t>
      </w:r>
      <w:r>
        <w:rPr>
          <w:rFonts w:ascii="仿宋" w:hAnsi="仿宋" w:eastAsia="仿宋" w:cs="仿宋"/>
          <w:sz w:val="24"/>
          <w:szCs w:val="24"/>
          <w:highlight w:val="none"/>
          <w:u w:val="single"/>
          <w:lang w:eastAsia="zh-CN"/>
        </w:rPr>
        <w:t xml:space="preserve">    </w:t>
      </w:r>
      <w:r>
        <w:rPr>
          <w:rFonts w:ascii="仿宋" w:hAnsi="仿宋" w:eastAsia="仿宋" w:cs="仿宋"/>
          <w:color w:val="000000"/>
          <w:sz w:val="24"/>
          <w:szCs w:val="24"/>
          <w:lang w:eastAsia="zh-CN"/>
        </w:rPr>
        <w:t>%</w:t>
      </w:r>
      <w:r>
        <w:rPr>
          <w:rFonts w:ascii="仿宋" w:hAnsi="仿宋" w:eastAsia="仿宋" w:cs="仿宋"/>
          <w:color w:val="000000"/>
          <w:sz w:val="24"/>
          <w:szCs w:val="24"/>
        </w:rPr>
        <w:t>的违约金。</w:t>
      </w:r>
    </w:p>
    <w:p w14:paraId="728393C4">
      <w:pPr>
        <w:pStyle w:val="25"/>
        <w:numPr>
          <w:ilvl w:val="0"/>
          <w:numId w:val="10"/>
        </w:numPr>
        <w:spacing w:line="360" w:lineRule="auto"/>
        <w:jc w:val="both"/>
        <w:rPr>
          <w:rFonts w:hint="default" w:ascii="仿宋" w:hAnsi="仿宋" w:eastAsia="仿宋" w:cs="仿宋"/>
          <w:sz w:val="24"/>
          <w:szCs w:val="24"/>
          <w:lang w:eastAsia="zh-CN"/>
        </w:rPr>
      </w:pPr>
      <w:r>
        <w:rPr>
          <w:rFonts w:ascii="仿宋" w:hAnsi="仿宋" w:eastAsia="仿宋" w:cs="仿宋"/>
          <w:sz w:val="24"/>
          <w:szCs w:val="24"/>
          <w:lang w:eastAsia="zh-CN"/>
        </w:rPr>
        <w:t>双方的</w:t>
      </w:r>
      <w:r>
        <w:rPr>
          <w:rFonts w:ascii="仿宋" w:hAnsi="仿宋" w:eastAsia="仿宋" w:cs="仿宋"/>
          <w:sz w:val="24"/>
          <w:szCs w:val="24"/>
          <w:lang w:eastAsia="zh-CN" w:bidi="ar"/>
        </w:rPr>
        <w:t>违约责任</w:t>
      </w:r>
    </w:p>
    <w:p w14:paraId="3DF04023">
      <w:pPr>
        <w:pStyle w:val="25"/>
        <w:spacing w:line="360" w:lineRule="auto"/>
        <w:ind w:firstLine="480"/>
        <w:jc w:val="both"/>
        <w:rPr>
          <w:rFonts w:hint="default" w:ascii="仿宋" w:hAnsi="仿宋" w:eastAsia="仿宋" w:cs="仿宋"/>
          <w:sz w:val="24"/>
          <w:szCs w:val="24"/>
        </w:rPr>
      </w:pPr>
      <w:r>
        <w:rPr>
          <w:rFonts w:ascii="仿宋" w:hAnsi="仿宋" w:eastAsia="仿宋" w:cs="仿宋"/>
          <w:color w:val="000000"/>
          <w:sz w:val="24"/>
          <w:szCs w:val="24"/>
          <w:lang w:eastAsia="zh-CN"/>
        </w:rPr>
        <w:t>甲乙</w:t>
      </w:r>
      <w:r>
        <w:rPr>
          <w:rFonts w:ascii="仿宋" w:hAnsi="仿宋" w:eastAsia="仿宋" w:cs="仿宋"/>
          <w:color w:val="000000"/>
          <w:sz w:val="24"/>
          <w:szCs w:val="24"/>
        </w:rPr>
        <w:t>双方应当对在合同履行过程中知晓的对方的商业秘密、技术参数、合同内容等资料、信息进行保密，不得向双方与本合同无关的人员及第三方进行泄露、传播、复制</w:t>
      </w:r>
      <w:r>
        <w:rPr>
          <w:rFonts w:ascii="仿宋" w:hAnsi="仿宋" w:eastAsia="仿宋" w:cs="仿宋"/>
          <w:color w:val="000000"/>
          <w:sz w:val="24"/>
          <w:szCs w:val="24"/>
          <w:lang w:eastAsia="zh-CN"/>
        </w:rPr>
        <w:t>（相关法律法规或上级部门要求公开的除外）</w:t>
      </w:r>
      <w:r>
        <w:rPr>
          <w:rFonts w:ascii="仿宋" w:hAnsi="仿宋" w:eastAsia="仿宋" w:cs="仿宋"/>
          <w:color w:val="000000"/>
          <w:sz w:val="24"/>
          <w:szCs w:val="24"/>
        </w:rPr>
        <w:t>，否则违约方向守约方承担相当于合同金额</w:t>
      </w:r>
      <w:r>
        <w:rPr>
          <w:rFonts w:ascii="仿宋" w:hAnsi="仿宋" w:eastAsia="仿宋" w:cs="仿宋"/>
          <w:sz w:val="24"/>
          <w:szCs w:val="24"/>
          <w:highlight w:val="none"/>
          <w:u w:val="single"/>
          <w:lang w:eastAsia="zh-CN"/>
        </w:rPr>
        <w:t xml:space="preserve">    </w:t>
      </w:r>
      <w:r>
        <w:rPr>
          <w:rFonts w:ascii="仿宋" w:hAnsi="仿宋" w:eastAsia="仿宋" w:cs="仿宋"/>
          <w:color w:val="000000"/>
          <w:sz w:val="24"/>
          <w:szCs w:val="24"/>
          <w:lang w:eastAsia="zh-CN"/>
        </w:rPr>
        <w:t>%</w:t>
      </w:r>
      <w:r>
        <w:rPr>
          <w:rFonts w:ascii="仿宋" w:hAnsi="仿宋" w:eastAsia="仿宋" w:cs="仿宋"/>
          <w:color w:val="000000"/>
          <w:sz w:val="24"/>
          <w:szCs w:val="24"/>
        </w:rPr>
        <w:t>的违约金并有权停止支付款项或停止供货。</w:t>
      </w:r>
    </w:p>
    <w:p w14:paraId="1D602B66">
      <w:pPr>
        <w:pStyle w:val="25"/>
        <w:numPr>
          <w:ilvl w:val="0"/>
          <w:numId w:val="3"/>
        </w:numPr>
        <w:spacing w:line="360" w:lineRule="auto"/>
        <w:ind w:firstLine="480" w:firstLineChars="200"/>
        <w:rPr>
          <w:rFonts w:hint="default" w:ascii="仿宋" w:hAnsi="仿宋" w:eastAsia="仿宋" w:cs="仿宋"/>
          <w:sz w:val="24"/>
          <w:szCs w:val="24"/>
        </w:rPr>
      </w:pPr>
      <w:r>
        <w:rPr>
          <w:rFonts w:ascii="仿宋" w:hAnsi="仿宋" w:eastAsia="仿宋" w:cs="仿宋"/>
          <w:b/>
          <w:color w:val="000000"/>
          <w:sz w:val="24"/>
          <w:szCs w:val="24"/>
        </w:rPr>
        <w:t>不可抗力</w:t>
      </w:r>
    </w:p>
    <w:p w14:paraId="77CBAF43">
      <w:pPr>
        <w:pStyle w:val="25"/>
        <w:spacing w:line="360" w:lineRule="auto"/>
        <w:jc w:val="both"/>
        <w:rPr>
          <w:rFonts w:hint="default" w:ascii="仿宋" w:hAnsi="仿宋" w:eastAsia="仿宋" w:cs="仿宋"/>
          <w:sz w:val="24"/>
          <w:szCs w:val="24"/>
        </w:rPr>
      </w:pPr>
      <w:r>
        <w:rPr>
          <w:rFonts w:ascii="仿宋" w:hAnsi="仿宋" w:eastAsia="仿宋" w:cs="仿宋"/>
          <w:color w:val="000000"/>
          <w:sz w:val="24"/>
          <w:szCs w:val="24"/>
        </w:rPr>
        <w:t xml:space="preserve">    甲乙双方任何一方由于不可抗力原因（例如：战争、自然灾害、政策禁令等）不能履行合同时，应及时向对方通报不能履行或不能完全履行的理由，并在十个工作日内提供有关机构的证明，双方应根据不可抗力事件的具体情况，协商确定合同的延期履行、部分履行或解除合同的具体事宜。因不可抗力造成的损失，双方应根据公平原则合理分担。</w:t>
      </w:r>
    </w:p>
    <w:p w14:paraId="4A93E677">
      <w:pPr>
        <w:pStyle w:val="25"/>
        <w:numPr>
          <w:ilvl w:val="0"/>
          <w:numId w:val="3"/>
        </w:numPr>
        <w:spacing w:line="360" w:lineRule="auto"/>
        <w:ind w:firstLine="480" w:firstLineChars="200"/>
        <w:rPr>
          <w:rFonts w:hint="default" w:ascii="仿宋" w:hAnsi="仿宋" w:eastAsia="仿宋" w:cs="仿宋"/>
          <w:sz w:val="24"/>
          <w:szCs w:val="24"/>
        </w:rPr>
      </w:pPr>
      <w:r>
        <w:rPr>
          <w:rFonts w:ascii="仿宋" w:hAnsi="仿宋" w:eastAsia="仿宋" w:cs="仿宋"/>
          <w:b/>
          <w:color w:val="000000"/>
          <w:sz w:val="24"/>
          <w:szCs w:val="24"/>
        </w:rPr>
        <w:t>争议的解决</w:t>
      </w:r>
    </w:p>
    <w:p w14:paraId="47FAE27B">
      <w:pPr>
        <w:pStyle w:val="25"/>
        <w:spacing w:line="360" w:lineRule="auto"/>
        <w:ind w:firstLine="465"/>
        <w:jc w:val="both"/>
        <w:rPr>
          <w:rFonts w:hint="default" w:ascii="仿宋" w:hAnsi="仿宋" w:eastAsia="仿宋" w:cs="仿宋"/>
          <w:sz w:val="24"/>
          <w:szCs w:val="24"/>
        </w:rPr>
      </w:pPr>
      <w:r>
        <w:rPr>
          <w:rFonts w:ascii="仿宋" w:hAnsi="仿宋" w:eastAsia="仿宋" w:cs="仿宋"/>
          <w:color w:val="000000"/>
          <w:sz w:val="24"/>
          <w:szCs w:val="24"/>
        </w:rPr>
        <w:t>（一）因货物的质量问题发生争议，由甲方根据法律及有关规章的规定选择具备该类设备鉴定资质的第三方技术机构进行质量鉴定并出具鉴定报告，甲乙双方无条件服从该鉴定的结论；鉴定费用先由提出鉴定方预付，鉴定结果为产品质量符合合同规定的，鉴定费用由甲方承担；鉴定结果为产品质量不符合合同规定的，鉴定费用由乙方承担。</w:t>
      </w:r>
    </w:p>
    <w:p w14:paraId="52791032">
      <w:pPr>
        <w:pStyle w:val="25"/>
        <w:spacing w:line="360" w:lineRule="auto"/>
        <w:ind w:firstLine="463"/>
        <w:jc w:val="both"/>
        <w:rPr>
          <w:rFonts w:hint="default" w:ascii="仿宋" w:hAnsi="仿宋" w:eastAsia="仿宋" w:cs="仿宋"/>
          <w:sz w:val="24"/>
          <w:szCs w:val="24"/>
        </w:rPr>
      </w:pPr>
      <w:r>
        <w:rPr>
          <w:rFonts w:ascii="仿宋" w:hAnsi="仿宋" w:eastAsia="仿宋" w:cs="仿宋"/>
          <w:color w:val="000000"/>
          <w:sz w:val="24"/>
          <w:szCs w:val="24"/>
        </w:rPr>
        <w:t>（二）执行本合同发生纠纷，当事人双方应当及时协商解决，协商不成时，任何一方均可向</w:t>
      </w:r>
      <w:r>
        <w:rPr>
          <w:rFonts w:ascii="仿宋" w:hAnsi="仿宋" w:eastAsia="仿宋" w:cs="仿宋"/>
          <w:color w:val="000000"/>
          <w:sz w:val="24"/>
          <w:szCs w:val="24"/>
          <w:lang w:eastAsia="zh-CN"/>
        </w:rPr>
        <w:t>甲方所在地有管辖权的</w:t>
      </w:r>
      <w:r>
        <w:rPr>
          <w:rFonts w:ascii="仿宋" w:hAnsi="仿宋" w:eastAsia="仿宋" w:cs="仿宋"/>
          <w:color w:val="000000"/>
          <w:sz w:val="24"/>
          <w:szCs w:val="24"/>
        </w:rPr>
        <w:t>人民法院提起诉讼。</w:t>
      </w:r>
    </w:p>
    <w:p w14:paraId="7BD4E560">
      <w:pPr>
        <w:pStyle w:val="25"/>
        <w:numPr>
          <w:ilvl w:val="0"/>
          <w:numId w:val="3"/>
        </w:numPr>
        <w:spacing w:line="360" w:lineRule="auto"/>
        <w:ind w:firstLine="480" w:firstLineChars="200"/>
        <w:rPr>
          <w:rFonts w:hint="default" w:ascii="仿宋" w:hAnsi="仿宋" w:eastAsia="仿宋" w:cs="仿宋"/>
          <w:sz w:val="24"/>
          <w:szCs w:val="24"/>
        </w:rPr>
      </w:pPr>
      <w:r>
        <w:rPr>
          <w:rFonts w:ascii="仿宋" w:hAnsi="仿宋" w:eastAsia="仿宋" w:cs="仿宋"/>
          <w:b/>
          <w:color w:val="000000"/>
          <w:sz w:val="24"/>
          <w:szCs w:val="24"/>
        </w:rPr>
        <w:t>其</w:t>
      </w:r>
      <w:r>
        <w:rPr>
          <w:rFonts w:ascii="仿宋" w:hAnsi="仿宋" w:eastAsia="仿宋" w:cs="仿宋"/>
          <w:b/>
          <w:color w:val="000000"/>
          <w:sz w:val="24"/>
          <w:szCs w:val="24"/>
          <w:lang w:eastAsia="zh-CN"/>
        </w:rPr>
        <w:t>他</w:t>
      </w:r>
      <w:r>
        <w:rPr>
          <w:rFonts w:ascii="仿宋" w:hAnsi="仿宋" w:eastAsia="仿宋" w:cs="仿宋"/>
          <w:b/>
          <w:color w:val="000000"/>
          <w:sz w:val="24"/>
          <w:szCs w:val="24"/>
        </w:rPr>
        <w:t>事项</w:t>
      </w:r>
    </w:p>
    <w:p w14:paraId="03A96DD4">
      <w:pPr>
        <w:pStyle w:val="25"/>
        <w:spacing w:line="360" w:lineRule="auto"/>
        <w:ind w:firstLine="480"/>
        <w:jc w:val="both"/>
        <w:rPr>
          <w:rFonts w:hint="default" w:ascii="仿宋" w:hAnsi="仿宋" w:eastAsia="仿宋" w:cs="仿宋"/>
          <w:sz w:val="24"/>
          <w:szCs w:val="24"/>
        </w:rPr>
      </w:pPr>
      <w:r>
        <w:rPr>
          <w:rFonts w:ascii="仿宋" w:hAnsi="仿宋" w:eastAsia="仿宋" w:cs="仿宋"/>
          <w:color w:val="000000"/>
          <w:sz w:val="24"/>
          <w:szCs w:val="24"/>
        </w:rPr>
        <w:t>本合同所有附件、</w:t>
      </w:r>
      <w:r>
        <w:rPr>
          <w:rFonts w:ascii="仿宋" w:hAnsi="仿宋" w:eastAsia="仿宋" w:cs="仿宋"/>
          <w:color w:val="000000"/>
          <w:sz w:val="24"/>
          <w:szCs w:val="24"/>
          <w:lang w:eastAsia="zh-CN"/>
        </w:rPr>
        <w:t>采购</w:t>
      </w:r>
      <w:r>
        <w:rPr>
          <w:rFonts w:ascii="仿宋" w:hAnsi="仿宋" w:eastAsia="仿宋" w:cs="仿宋"/>
          <w:color w:val="000000"/>
          <w:sz w:val="24"/>
          <w:szCs w:val="24"/>
        </w:rPr>
        <w:t>文件、</w:t>
      </w:r>
      <w:r>
        <w:rPr>
          <w:rFonts w:ascii="仿宋" w:hAnsi="仿宋" w:eastAsia="仿宋" w:cs="仿宋"/>
          <w:color w:val="000000"/>
          <w:sz w:val="24"/>
          <w:szCs w:val="24"/>
          <w:lang w:eastAsia="zh-CN"/>
        </w:rPr>
        <w:t>响应</w:t>
      </w:r>
      <w:r>
        <w:rPr>
          <w:rFonts w:ascii="仿宋" w:hAnsi="仿宋" w:eastAsia="仿宋" w:cs="仿宋"/>
          <w:color w:val="000000"/>
          <w:sz w:val="24"/>
          <w:szCs w:val="24"/>
        </w:rPr>
        <w:t>文件及其附件（含</w:t>
      </w:r>
      <w:r>
        <w:rPr>
          <w:rFonts w:ascii="仿宋" w:hAnsi="仿宋" w:eastAsia="仿宋" w:cs="仿宋"/>
          <w:color w:val="000000"/>
          <w:sz w:val="24"/>
          <w:szCs w:val="24"/>
          <w:lang w:eastAsia="zh-CN"/>
        </w:rPr>
        <w:t>评审</w:t>
      </w:r>
      <w:r>
        <w:rPr>
          <w:rFonts w:ascii="仿宋" w:hAnsi="仿宋" w:eastAsia="仿宋" w:cs="仿宋"/>
          <w:color w:val="000000"/>
          <w:sz w:val="24"/>
          <w:szCs w:val="24"/>
        </w:rPr>
        <w:t>期间的澄清文件和补充资料）、</w:t>
      </w:r>
      <w:r>
        <w:rPr>
          <w:rFonts w:ascii="仿宋" w:hAnsi="仿宋" w:eastAsia="仿宋" w:cs="仿宋"/>
          <w:color w:val="000000"/>
          <w:sz w:val="24"/>
          <w:szCs w:val="24"/>
          <w:lang w:eastAsia="zh-CN"/>
        </w:rPr>
        <w:t>成交</w:t>
      </w:r>
      <w:r>
        <w:rPr>
          <w:rFonts w:ascii="仿宋" w:hAnsi="仿宋" w:eastAsia="仿宋" w:cs="仿宋"/>
          <w:color w:val="000000"/>
          <w:sz w:val="24"/>
          <w:szCs w:val="24"/>
        </w:rPr>
        <w:t>通知书均</w:t>
      </w:r>
      <w:r>
        <w:rPr>
          <w:rFonts w:ascii="仿宋" w:hAnsi="仿宋" w:eastAsia="仿宋" w:cs="仿宋"/>
          <w:color w:val="000000"/>
          <w:sz w:val="24"/>
          <w:szCs w:val="24"/>
          <w:lang w:eastAsia="zh-CN"/>
        </w:rPr>
        <w:t>为本</w:t>
      </w:r>
      <w:r>
        <w:rPr>
          <w:rFonts w:ascii="仿宋" w:hAnsi="仿宋" w:eastAsia="仿宋" w:cs="仿宋"/>
          <w:color w:val="000000"/>
          <w:sz w:val="24"/>
          <w:szCs w:val="24"/>
        </w:rPr>
        <w:t>合同的有效组成部分，与本合同具有同等法律效力。</w:t>
      </w:r>
    </w:p>
    <w:p w14:paraId="1274AA16">
      <w:pPr>
        <w:pStyle w:val="25"/>
        <w:numPr>
          <w:ilvl w:val="0"/>
          <w:numId w:val="3"/>
        </w:numPr>
        <w:spacing w:line="360" w:lineRule="auto"/>
        <w:ind w:firstLine="480" w:firstLineChars="200"/>
        <w:rPr>
          <w:rFonts w:hint="default" w:ascii="仿宋" w:hAnsi="仿宋" w:eastAsia="仿宋" w:cs="仿宋"/>
          <w:sz w:val="24"/>
          <w:szCs w:val="24"/>
        </w:rPr>
      </w:pPr>
      <w:r>
        <w:rPr>
          <w:rFonts w:ascii="仿宋" w:hAnsi="仿宋" w:eastAsia="仿宋" w:cs="仿宋"/>
          <w:b/>
          <w:color w:val="000000"/>
          <w:sz w:val="24"/>
          <w:szCs w:val="24"/>
        </w:rPr>
        <w:t>特别约定</w:t>
      </w:r>
    </w:p>
    <w:p w14:paraId="4920460D">
      <w:pPr>
        <w:pStyle w:val="25"/>
        <w:spacing w:line="360" w:lineRule="auto"/>
        <w:jc w:val="both"/>
        <w:rPr>
          <w:rFonts w:hint="default" w:ascii="仿宋" w:hAnsi="仿宋" w:eastAsia="仿宋" w:cs="仿宋"/>
          <w:sz w:val="24"/>
          <w:szCs w:val="24"/>
        </w:rPr>
      </w:pPr>
      <w:r>
        <w:rPr>
          <w:rFonts w:ascii="仿宋" w:hAnsi="仿宋" w:eastAsia="仿宋" w:cs="仿宋"/>
          <w:color w:val="000000"/>
          <w:sz w:val="24"/>
          <w:szCs w:val="24"/>
        </w:rPr>
        <w:t xml:space="preserve">    由于乙方产品自身的质量问题，造成甲方的损失，如患者、陪护人员及其他人员的人身或财产损害的，由乙方承担赔偿责任。若甲方因此承担了责任的，有权向乙方追偿。同时，乙方还应当赔偿甲方受到的损失以及维护自身权益而产生的支出（如：律师费、诉讼费等）。</w:t>
      </w:r>
    </w:p>
    <w:p w14:paraId="41FC2EE1">
      <w:pPr>
        <w:pStyle w:val="25"/>
        <w:numPr>
          <w:ilvl w:val="0"/>
          <w:numId w:val="3"/>
        </w:numPr>
        <w:spacing w:line="360" w:lineRule="auto"/>
        <w:ind w:firstLine="480" w:firstLineChars="200"/>
        <w:rPr>
          <w:rFonts w:hint="default" w:ascii="仿宋" w:hAnsi="仿宋" w:eastAsia="仿宋" w:cs="仿宋"/>
          <w:sz w:val="24"/>
          <w:szCs w:val="24"/>
        </w:rPr>
      </w:pPr>
      <w:r>
        <w:rPr>
          <w:rFonts w:ascii="仿宋" w:hAnsi="仿宋" w:eastAsia="仿宋" w:cs="仿宋"/>
          <w:b/>
          <w:color w:val="000000"/>
          <w:sz w:val="24"/>
          <w:szCs w:val="24"/>
        </w:rPr>
        <w:t>其他</w:t>
      </w:r>
    </w:p>
    <w:p w14:paraId="149F4898">
      <w:pPr>
        <w:pStyle w:val="25"/>
        <w:spacing w:line="360" w:lineRule="auto"/>
        <w:ind w:firstLine="476"/>
        <w:jc w:val="both"/>
        <w:rPr>
          <w:rFonts w:hint="default" w:ascii="仿宋" w:hAnsi="仿宋" w:eastAsia="仿宋" w:cs="仿宋"/>
          <w:sz w:val="24"/>
          <w:szCs w:val="24"/>
        </w:rPr>
      </w:pPr>
      <w:r>
        <w:rPr>
          <w:rFonts w:ascii="仿宋" w:hAnsi="仿宋" w:eastAsia="仿宋" w:cs="仿宋"/>
          <w:color w:val="000000"/>
          <w:sz w:val="24"/>
          <w:szCs w:val="24"/>
        </w:rPr>
        <w:t>（一）本合同自甲乙双方签章之日起生效。</w:t>
      </w:r>
    </w:p>
    <w:p w14:paraId="5BBCBE4F">
      <w:pPr>
        <w:pStyle w:val="25"/>
        <w:spacing w:line="360" w:lineRule="auto"/>
        <w:ind w:firstLine="476"/>
        <w:jc w:val="both"/>
        <w:rPr>
          <w:rFonts w:hint="default" w:ascii="仿宋" w:hAnsi="仿宋" w:eastAsia="仿宋" w:cs="仿宋"/>
          <w:color w:val="000000"/>
          <w:sz w:val="24"/>
          <w:szCs w:val="24"/>
        </w:rPr>
      </w:pPr>
      <w:r>
        <w:rPr>
          <w:rFonts w:ascii="仿宋" w:hAnsi="仿宋" w:eastAsia="仿宋" w:cs="仿宋"/>
          <w:color w:val="000000"/>
          <w:sz w:val="24"/>
          <w:szCs w:val="24"/>
        </w:rPr>
        <w:t>（二）未尽事宜，双方可签订补充协议，补充协议与本合同具有同等法律效力，补充协议未约定部分按照原合同履行。</w:t>
      </w:r>
    </w:p>
    <w:p w14:paraId="78716141">
      <w:pPr>
        <w:pStyle w:val="25"/>
        <w:spacing w:line="360" w:lineRule="auto"/>
        <w:ind w:firstLine="476"/>
        <w:jc w:val="both"/>
        <w:rPr>
          <w:rFonts w:hint="default" w:ascii="仿宋" w:hAnsi="仿宋" w:eastAsia="仿宋" w:cs="仿宋"/>
          <w:color w:val="000000"/>
          <w:sz w:val="24"/>
          <w:szCs w:val="24"/>
        </w:rPr>
      </w:pPr>
      <w:r>
        <w:rPr>
          <w:rFonts w:ascii="仿宋" w:hAnsi="仿宋" w:eastAsia="仿宋" w:cs="仿宋"/>
          <w:color w:val="000000"/>
          <w:sz w:val="24"/>
          <w:szCs w:val="24"/>
        </w:rPr>
        <w:t>（三）本合同一式</w:t>
      </w:r>
      <w:r>
        <w:rPr>
          <w:rFonts w:ascii="仿宋" w:hAnsi="仿宋" w:eastAsia="仿宋" w:cs="仿宋"/>
          <w:sz w:val="24"/>
          <w:szCs w:val="24"/>
          <w:highlight w:val="none"/>
          <w:u w:val="single"/>
          <w:lang w:eastAsia="zh-CN"/>
        </w:rPr>
        <w:t xml:space="preserve">    </w:t>
      </w:r>
      <w:r>
        <w:rPr>
          <w:rFonts w:ascii="仿宋" w:hAnsi="仿宋" w:eastAsia="仿宋" w:cs="仿宋"/>
          <w:color w:val="000000"/>
          <w:sz w:val="24"/>
          <w:szCs w:val="24"/>
        </w:rPr>
        <w:t>份，双方各执</w:t>
      </w:r>
      <w:r>
        <w:rPr>
          <w:rFonts w:ascii="仿宋" w:hAnsi="仿宋" w:eastAsia="仿宋" w:cs="仿宋"/>
          <w:sz w:val="24"/>
          <w:szCs w:val="24"/>
          <w:highlight w:val="none"/>
          <w:u w:val="single"/>
          <w:lang w:eastAsia="zh-CN"/>
        </w:rPr>
        <w:t xml:space="preserve">   </w:t>
      </w:r>
      <w:r>
        <w:rPr>
          <w:rFonts w:ascii="仿宋" w:hAnsi="仿宋" w:eastAsia="仿宋" w:cs="仿宋"/>
          <w:color w:val="000000"/>
          <w:sz w:val="24"/>
          <w:szCs w:val="24"/>
        </w:rPr>
        <w:t>份，具有同等法律效力，本合同所有</w:t>
      </w:r>
    </w:p>
    <w:p w14:paraId="1166747B">
      <w:pPr>
        <w:pStyle w:val="25"/>
        <w:spacing w:line="360" w:lineRule="auto"/>
        <w:jc w:val="both"/>
        <w:rPr>
          <w:rFonts w:hint="default" w:ascii="仿宋" w:hAnsi="仿宋" w:eastAsia="仿宋" w:cs="仿宋"/>
          <w:color w:val="000000"/>
          <w:sz w:val="24"/>
          <w:szCs w:val="24"/>
          <w:lang w:eastAsia="zh-CN"/>
        </w:rPr>
      </w:pPr>
      <w:r>
        <w:rPr>
          <w:rFonts w:ascii="仿宋" w:hAnsi="仿宋" w:eastAsia="仿宋" w:cs="仿宋"/>
          <w:color w:val="000000"/>
          <w:sz w:val="24"/>
          <w:szCs w:val="24"/>
          <w:lang w:eastAsia="zh-CN"/>
        </w:rPr>
        <w:t>相关</w:t>
      </w:r>
      <w:r>
        <w:rPr>
          <w:rFonts w:ascii="仿宋" w:hAnsi="仿宋" w:eastAsia="仿宋" w:cs="仿宋"/>
          <w:color w:val="000000"/>
          <w:sz w:val="24"/>
          <w:szCs w:val="24"/>
        </w:rPr>
        <w:t>附件为合同组成部分（详见附件清单）</w:t>
      </w:r>
      <w:r>
        <w:rPr>
          <w:rFonts w:ascii="仿宋" w:hAnsi="仿宋" w:eastAsia="仿宋" w:cs="仿宋"/>
          <w:color w:val="000000"/>
          <w:sz w:val="24"/>
          <w:szCs w:val="24"/>
          <w:lang w:eastAsia="zh-CN"/>
        </w:rPr>
        <w:t>。</w:t>
      </w:r>
    </w:p>
    <w:p w14:paraId="21D581A0">
      <w:pPr>
        <w:pStyle w:val="25"/>
        <w:spacing w:line="360" w:lineRule="auto"/>
        <w:ind w:firstLine="476"/>
        <w:jc w:val="both"/>
        <w:rPr>
          <w:rFonts w:hint="default" w:ascii="仿宋" w:hAnsi="仿宋" w:eastAsia="仿宋" w:cs="仿宋"/>
          <w:color w:val="000000"/>
          <w:sz w:val="24"/>
          <w:szCs w:val="24"/>
        </w:rPr>
      </w:pPr>
    </w:p>
    <w:p w14:paraId="2471FBF7">
      <w:pPr>
        <w:rPr>
          <w:rFonts w:ascii="仿宋" w:hAnsi="仿宋" w:eastAsia="仿宋" w:cs="仿宋"/>
          <w:color w:val="000000"/>
          <w:sz w:val="24"/>
        </w:rPr>
      </w:pPr>
      <w:r>
        <w:rPr>
          <w:rFonts w:hint="eastAsia" w:ascii="仿宋" w:hAnsi="仿宋" w:eastAsia="仿宋" w:cs="仿宋"/>
          <w:color w:val="000000"/>
          <w:sz w:val="24"/>
        </w:rPr>
        <w:br w:type="page"/>
      </w:r>
    </w:p>
    <w:p w14:paraId="087C3878">
      <w:pPr>
        <w:pStyle w:val="25"/>
        <w:snapToGrid w:val="0"/>
        <w:spacing w:line="360" w:lineRule="auto"/>
        <w:ind w:firstLine="480" w:firstLineChars="200"/>
        <w:jc w:val="both"/>
        <w:rPr>
          <w:rFonts w:hint="default" w:ascii="仿宋" w:hAnsi="仿宋" w:eastAsia="仿宋" w:cs="仿宋"/>
          <w:color w:val="000000"/>
          <w:sz w:val="24"/>
          <w:szCs w:val="24"/>
          <w:lang w:eastAsia="zh-CN"/>
        </w:rPr>
      </w:pPr>
      <w:r>
        <w:rPr>
          <w:rFonts w:ascii="仿宋" w:hAnsi="仿宋" w:eastAsia="仿宋" w:cs="仿宋"/>
          <w:color w:val="000000"/>
          <w:sz w:val="24"/>
          <w:szCs w:val="24"/>
          <w:lang w:eastAsia="zh-CN"/>
        </w:rPr>
        <w:t>（此页为合同签署页，无正文内容）</w:t>
      </w:r>
    </w:p>
    <w:p w14:paraId="4B4E0D07">
      <w:pPr>
        <w:pStyle w:val="25"/>
        <w:snapToGrid w:val="0"/>
        <w:spacing w:line="360" w:lineRule="auto"/>
        <w:jc w:val="both"/>
        <w:rPr>
          <w:rFonts w:hint="default" w:ascii="仿宋" w:hAnsi="仿宋" w:eastAsia="仿宋" w:cs="仿宋"/>
          <w:color w:val="000000"/>
          <w:sz w:val="24"/>
          <w:szCs w:val="24"/>
          <w:lang w:eastAsia="zh-CN"/>
        </w:rPr>
      </w:pPr>
    </w:p>
    <w:p w14:paraId="74C52179">
      <w:pPr>
        <w:pStyle w:val="25"/>
        <w:tabs>
          <w:tab w:val="left" w:pos="4200"/>
        </w:tabs>
        <w:snapToGrid w:val="0"/>
        <w:spacing w:line="360" w:lineRule="auto"/>
        <w:jc w:val="both"/>
        <w:rPr>
          <w:rFonts w:hint="default" w:ascii="仿宋" w:hAnsi="仿宋" w:eastAsia="仿宋" w:cs="仿宋"/>
          <w:color w:val="000000"/>
          <w:sz w:val="24"/>
          <w:szCs w:val="24"/>
          <w:highlight w:val="yellow"/>
          <w:u w:val="single"/>
          <w:lang w:eastAsia="zh-CN"/>
        </w:rPr>
      </w:pPr>
      <w:r>
        <w:rPr>
          <w:rFonts w:ascii="仿宋" w:hAnsi="仿宋" w:eastAsia="仿宋" w:cs="仿宋"/>
          <w:color w:val="000000"/>
          <w:sz w:val="24"/>
          <w:szCs w:val="24"/>
        </w:rPr>
        <w:t>甲方（签章）：惠州市第一人民医院</w:t>
      </w:r>
      <w:r>
        <w:rPr>
          <w:rFonts w:ascii="仿宋" w:hAnsi="仿宋" w:eastAsia="仿宋" w:cs="仿宋"/>
          <w:sz w:val="24"/>
          <w:szCs w:val="24"/>
          <w:lang w:eastAsia="zh-CN"/>
        </w:rPr>
        <w:tab/>
      </w:r>
      <w:r>
        <w:rPr>
          <w:rFonts w:ascii="仿宋" w:hAnsi="仿宋" w:eastAsia="仿宋" w:cs="仿宋"/>
          <w:color w:val="000000"/>
          <w:sz w:val="24"/>
          <w:szCs w:val="24"/>
        </w:rPr>
        <w:t>乙方（签章）：</w:t>
      </w:r>
      <w:r>
        <w:rPr>
          <w:rFonts w:ascii="仿宋" w:hAnsi="仿宋" w:eastAsia="仿宋" w:cs="仿宋"/>
          <w:sz w:val="24"/>
          <w:szCs w:val="24"/>
          <w:highlight w:val="none"/>
          <w:u w:val="single"/>
          <w:lang w:eastAsia="zh-CN"/>
        </w:rPr>
        <w:t xml:space="preserve">                       </w:t>
      </w:r>
    </w:p>
    <w:p w14:paraId="6EE1E20B">
      <w:pPr>
        <w:pStyle w:val="25"/>
        <w:tabs>
          <w:tab w:val="left" w:pos="4200"/>
        </w:tabs>
        <w:snapToGrid w:val="0"/>
        <w:spacing w:line="360" w:lineRule="auto"/>
        <w:jc w:val="both"/>
        <w:rPr>
          <w:rFonts w:hint="default" w:ascii="仿宋" w:hAnsi="仿宋" w:eastAsia="仿宋" w:cs="仿宋"/>
          <w:color w:val="000000"/>
          <w:sz w:val="24"/>
          <w:szCs w:val="24"/>
        </w:rPr>
      </w:pPr>
      <w:r>
        <w:rPr>
          <w:rFonts w:ascii="仿宋" w:hAnsi="仿宋" w:eastAsia="仿宋" w:cs="仿宋"/>
          <w:color w:val="000000"/>
          <w:sz w:val="24"/>
          <w:szCs w:val="24"/>
        </w:rPr>
        <w:t xml:space="preserve">法定代表人/委托代理人： </w:t>
      </w:r>
      <w:r>
        <w:rPr>
          <w:rFonts w:ascii="仿宋" w:hAnsi="仿宋" w:eastAsia="仿宋" w:cs="仿宋"/>
          <w:color w:val="000000"/>
          <w:sz w:val="24"/>
          <w:szCs w:val="24"/>
          <w:lang w:eastAsia="zh-CN"/>
        </w:rPr>
        <w:tab/>
      </w:r>
      <w:r>
        <w:rPr>
          <w:rFonts w:ascii="仿宋" w:hAnsi="仿宋" w:eastAsia="仿宋" w:cs="仿宋"/>
          <w:color w:val="000000"/>
          <w:sz w:val="24"/>
          <w:szCs w:val="24"/>
        </w:rPr>
        <w:t xml:space="preserve">法定代表人：     </w:t>
      </w:r>
    </w:p>
    <w:p w14:paraId="7BDD8C85">
      <w:pPr>
        <w:pStyle w:val="25"/>
        <w:tabs>
          <w:tab w:val="left" w:pos="4200"/>
        </w:tabs>
        <w:snapToGrid w:val="0"/>
        <w:spacing w:line="360" w:lineRule="auto"/>
        <w:jc w:val="both"/>
        <w:rPr>
          <w:rFonts w:hint="default" w:ascii="仿宋" w:hAnsi="仿宋" w:eastAsia="仿宋" w:cs="仿宋"/>
          <w:color w:val="000000"/>
          <w:sz w:val="24"/>
          <w:szCs w:val="24"/>
        </w:rPr>
      </w:pPr>
    </w:p>
    <w:p w14:paraId="2BD94C53">
      <w:pPr>
        <w:pStyle w:val="25"/>
        <w:tabs>
          <w:tab w:val="left" w:pos="4200"/>
        </w:tabs>
        <w:snapToGrid w:val="0"/>
        <w:spacing w:line="360" w:lineRule="auto"/>
        <w:jc w:val="both"/>
        <w:rPr>
          <w:rFonts w:hint="default" w:ascii="仿宋" w:hAnsi="仿宋" w:eastAsia="仿宋" w:cs="仿宋"/>
          <w:color w:val="000000"/>
          <w:sz w:val="24"/>
          <w:szCs w:val="24"/>
        </w:rPr>
      </w:pPr>
    </w:p>
    <w:p w14:paraId="2EA83618">
      <w:pPr>
        <w:pStyle w:val="25"/>
        <w:tabs>
          <w:tab w:val="left" w:pos="4200"/>
        </w:tabs>
        <w:snapToGrid w:val="0"/>
        <w:spacing w:line="360" w:lineRule="auto"/>
        <w:jc w:val="both"/>
        <w:rPr>
          <w:rFonts w:hint="default" w:ascii="仿宋" w:hAnsi="仿宋" w:eastAsia="仿宋" w:cs="仿宋"/>
          <w:color w:val="000000"/>
          <w:sz w:val="24"/>
          <w:szCs w:val="24"/>
        </w:rPr>
      </w:pPr>
    </w:p>
    <w:p w14:paraId="1C7D887E">
      <w:pPr>
        <w:pStyle w:val="25"/>
        <w:tabs>
          <w:tab w:val="left" w:pos="4200"/>
        </w:tabs>
        <w:snapToGrid w:val="0"/>
        <w:spacing w:line="360" w:lineRule="auto"/>
        <w:ind w:left="5040" w:hanging="5040" w:hangingChars="2100"/>
        <w:jc w:val="both"/>
        <w:rPr>
          <w:rFonts w:hint="default" w:ascii="仿宋" w:hAnsi="仿宋" w:eastAsia="仿宋" w:cs="仿宋"/>
          <w:color w:val="000000"/>
          <w:sz w:val="24"/>
          <w:szCs w:val="24"/>
          <w:u w:val="single"/>
          <w:shd w:val="clear" w:color="auto" w:fill="FFFF00"/>
        </w:rPr>
      </w:pPr>
      <w:r>
        <w:rPr>
          <w:rFonts w:ascii="仿宋" w:hAnsi="仿宋" w:eastAsia="仿宋" w:cs="仿宋"/>
          <w:color w:val="000000"/>
          <w:sz w:val="24"/>
          <w:szCs w:val="24"/>
        </w:rPr>
        <w:t>地址：</w:t>
      </w:r>
      <w:r>
        <w:rPr>
          <w:rFonts w:ascii="仿宋" w:hAnsi="仿宋" w:eastAsia="仿宋" w:cs="仿宋"/>
          <w:color w:val="000000"/>
          <w:sz w:val="24"/>
          <w:szCs w:val="24"/>
          <w:u w:val="single"/>
        </w:rPr>
        <w:t xml:space="preserve">  惠州市三新南路20号</w:t>
      </w:r>
      <w:r>
        <w:rPr>
          <w:rFonts w:ascii="仿宋" w:hAnsi="仿宋" w:eastAsia="仿宋" w:cs="仿宋"/>
          <w:color w:val="000000"/>
          <w:sz w:val="24"/>
          <w:szCs w:val="24"/>
        </w:rPr>
        <w:t xml:space="preserve"> </w:t>
      </w:r>
      <w:r>
        <w:rPr>
          <w:rFonts w:ascii="仿宋" w:hAnsi="仿宋" w:eastAsia="仿宋" w:cs="仿宋"/>
          <w:color w:val="000000"/>
          <w:sz w:val="24"/>
          <w:szCs w:val="24"/>
          <w:lang w:eastAsia="zh-CN"/>
        </w:rPr>
        <w:tab/>
      </w:r>
      <w:r>
        <w:rPr>
          <w:rFonts w:ascii="仿宋" w:hAnsi="仿宋" w:eastAsia="仿宋" w:cs="仿宋"/>
          <w:color w:val="000000"/>
          <w:sz w:val="24"/>
          <w:szCs w:val="24"/>
        </w:rPr>
        <w:t>地址：</w:t>
      </w:r>
      <w:r>
        <w:rPr>
          <w:rFonts w:ascii="仿宋" w:hAnsi="仿宋" w:eastAsia="仿宋" w:cs="仿宋"/>
          <w:sz w:val="24"/>
          <w:szCs w:val="24"/>
          <w:highlight w:val="none"/>
          <w:u w:val="single"/>
          <w:lang w:eastAsia="zh-CN"/>
        </w:rPr>
        <w:t xml:space="preserve">                        </w:t>
      </w:r>
    </w:p>
    <w:p w14:paraId="6122684E">
      <w:pPr>
        <w:pStyle w:val="25"/>
        <w:tabs>
          <w:tab w:val="left" w:pos="4200"/>
        </w:tabs>
        <w:snapToGrid w:val="0"/>
        <w:spacing w:line="360" w:lineRule="auto"/>
        <w:jc w:val="both"/>
        <w:rPr>
          <w:rFonts w:hint="default" w:ascii="仿宋" w:hAnsi="仿宋" w:eastAsia="仿宋" w:cs="仿宋"/>
          <w:color w:val="000000"/>
          <w:sz w:val="24"/>
          <w:szCs w:val="24"/>
          <w:u w:val="single"/>
        </w:rPr>
      </w:pPr>
      <w:r>
        <w:rPr>
          <w:rFonts w:ascii="仿宋" w:hAnsi="仿宋" w:eastAsia="仿宋" w:cs="仿宋"/>
          <w:color w:val="000000"/>
          <w:sz w:val="24"/>
          <w:szCs w:val="24"/>
        </w:rPr>
        <w:t>电话：</w:t>
      </w:r>
      <w:r>
        <w:rPr>
          <w:rFonts w:ascii="仿宋" w:hAnsi="仿宋" w:eastAsia="仿宋" w:cs="仿宋"/>
          <w:sz w:val="24"/>
          <w:szCs w:val="24"/>
          <w:u w:val="single"/>
        </w:rPr>
        <w:t xml:space="preserve">   </w:t>
      </w:r>
      <w:r>
        <w:rPr>
          <w:rFonts w:ascii="仿宋" w:hAnsi="仿宋" w:eastAsia="仿宋" w:cs="仿宋"/>
          <w:color w:val="000000"/>
          <w:sz w:val="24"/>
          <w:szCs w:val="24"/>
          <w:u w:val="single"/>
        </w:rPr>
        <w:t xml:space="preserve"> 0752-288390</w:t>
      </w:r>
      <w:r>
        <w:rPr>
          <w:rFonts w:ascii="仿宋" w:hAnsi="仿宋" w:eastAsia="仿宋" w:cs="仿宋"/>
          <w:color w:val="000000"/>
          <w:sz w:val="24"/>
          <w:szCs w:val="24"/>
          <w:u w:val="single"/>
          <w:lang w:eastAsia="zh-CN"/>
        </w:rPr>
        <w:t>0</w:t>
      </w:r>
      <w:r>
        <w:rPr>
          <w:rFonts w:ascii="仿宋" w:hAnsi="仿宋" w:eastAsia="仿宋" w:cs="仿宋"/>
          <w:color w:val="000000"/>
          <w:sz w:val="24"/>
          <w:szCs w:val="24"/>
          <w:u w:val="single"/>
        </w:rPr>
        <w:t xml:space="preserve"> </w:t>
      </w:r>
      <w:r>
        <w:rPr>
          <w:rFonts w:ascii="仿宋" w:hAnsi="仿宋" w:eastAsia="仿宋" w:cs="仿宋"/>
          <w:sz w:val="24"/>
          <w:szCs w:val="24"/>
          <w:u w:val="single"/>
        </w:rPr>
        <w:t xml:space="preserve">  </w:t>
      </w:r>
      <w:r>
        <w:rPr>
          <w:rFonts w:ascii="仿宋" w:hAnsi="仿宋" w:eastAsia="仿宋" w:cs="仿宋"/>
          <w:color w:val="000000"/>
          <w:sz w:val="24"/>
          <w:szCs w:val="24"/>
        </w:rPr>
        <w:t xml:space="preserve">  </w:t>
      </w:r>
      <w:r>
        <w:rPr>
          <w:rFonts w:ascii="仿宋" w:hAnsi="仿宋" w:eastAsia="仿宋" w:cs="仿宋"/>
          <w:color w:val="000000"/>
          <w:sz w:val="24"/>
          <w:szCs w:val="24"/>
          <w:lang w:eastAsia="zh-CN"/>
        </w:rPr>
        <w:tab/>
      </w:r>
      <w:r>
        <w:rPr>
          <w:rFonts w:ascii="仿宋" w:hAnsi="仿宋" w:eastAsia="仿宋" w:cs="仿宋"/>
          <w:color w:val="000000"/>
          <w:sz w:val="24"/>
          <w:szCs w:val="24"/>
        </w:rPr>
        <w:t>电话：</w:t>
      </w:r>
      <w:r>
        <w:rPr>
          <w:rFonts w:ascii="仿宋" w:hAnsi="仿宋" w:eastAsia="仿宋" w:cs="仿宋"/>
          <w:sz w:val="24"/>
          <w:szCs w:val="24"/>
          <w:highlight w:val="none"/>
          <w:u w:val="single"/>
          <w:lang w:eastAsia="zh-CN"/>
        </w:rPr>
        <w:t xml:space="preserve">                   </w:t>
      </w:r>
    </w:p>
    <w:p w14:paraId="63FA562B">
      <w:pPr>
        <w:pStyle w:val="25"/>
        <w:tabs>
          <w:tab w:val="left" w:pos="4200"/>
        </w:tabs>
        <w:snapToGrid w:val="0"/>
        <w:spacing w:line="360" w:lineRule="auto"/>
        <w:jc w:val="both"/>
        <w:rPr>
          <w:rFonts w:hint="default" w:ascii="仿宋" w:hAnsi="仿宋" w:eastAsia="仿宋" w:cs="仿宋"/>
          <w:sz w:val="24"/>
          <w:szCs w:val="24"/>
        </w:rPr>
      </w:pPr>
      <w:r>
        <w:rPr>
          <w:rFonts w:ascii="仿宋" w:hAnsi="仿宋" w:eastAsia="仿宋" w:cs="仿宋"/>
          <w:color w:val="000000"/>
          <w:sz w:val="24"/>
          <w:szCs w:val="24"/>
        </w:rPr>
        <w:t>传真：</w:t>
      </w:r>
      <w:r>
        <w:rPr>
          <w:rFonts w:ascii="仿宋" w:hAnsi="仿宋" w:eastAsia="仿宋" w:cs="仿宋"/>
          <w:color w:val="000000"/>
          <w:sz w:val="24"/>
          <w:szCs w:val="24"/>
          <w:u w:val="single"/>
        </w:rPr>
        <w:t xml:space="preserve"> 2883600  </w:t>
      </w:r>
      <w:r>
        <w:rPr>
          <w:rFonts w:ascii="仿宋" w:hAnsi="仿宋" w:eastAsia="仿宋" w:cs="仿宋"/>
          <w:color w:val="000000"/>
          <w:sz w:val="24"/>
          <w:szCs w:val="24"/>
        </w:rPr>
        <w:t xml:space="preserve"> 邮编：</w:t>
      </w:r>
      <w:r>
        <w:rPr>
          <w:rFonts w:ascii="仿宋" w:hAnsi="仿宋" w:eastAsia="仿宋" w:cs="仿宋"/>
          <w:color w:val="000000"/>
          <w:sz w:val="24"/>
          <w:szCs w:val="24"/>
          <w:u w:val="single"/>
        </w:rPr>
        <w:t>516003</w:t>
      </w:r>
      <w:r>
        <w:rPr>
          <w:rFonts w:ascii="仿宋" w:hAnsi="仿宋" w:eastAsia="仿宋" w:cs="仿宋"/>
          <w:color w:val="000000"/>
          <w:sz w:val="24"/>
          <w:szCs w:val="24"/>
        </w:rPr>
        <w:t xml:space="preserve"> </w:t>
      </w:r>
      <w:r>
        <w:rPr>
          <w:rFonts w:ascii="仿宋" w:hAnsi="仿宋" w:eastAsia="仿宋" w:cs="仿宋"/>
          <w:color w:val="000000"/>
          <w:sz w:val="24"/>
          <w:szCs w:val="24"/>
          <w:lang w:eastAsia="zh-CN"/>
        </w:rPr>
        <w:tab/>
      </w:r>
      <w:r>
        <w:rPr>
          <w:rFonts w:ascii="仿宋" w:hAnsi="仿宋" w:eastAsia="仿宋" w:cs="仿宋"/>
          <w:color w:val="000000"/>
          <w:sz w:val="24"/>
          <w:szCs w:val="24"/>
        </w:rPr>
        <w:t>传真：</w:t>
      </w:r>
      <w:r>
        <w:rPr>
          <w:rFonts w:ascii="仿宋" w:hAnsi="仿宋" w:eastAsia="仿宋" w:cs="仿宋"/>
          <w:sz w:val="24"/>
          <w:szCs w:val="24"/>
          <w:highlight w:val="none"/>
          <w:u w:val="single"/>
          <w:lang w:eastAsia="zh-CN"/>
        </w:rPr>
        <w:t xml:space="preserve">          </w:t>
      </w:r>
      <w:r>
        <w:rPr>
          <w:rFonts w:ascii="仿宋" w:hAnsi="仿宋" w:eastAsia="仿宋" w:cs="仿宋"/>
          <w:color w:val="000000"/>
          <w:sz w:val="24"/>
          <w:szCs w:val="24"/>
        </w:rPr>
        <w:t xml:space="preserve"> 邮编：</w:t>
      </w:r>
      <w:r>
        <w:rPr>
          <w:rFonts w:ascii="仿宋" w:hAnsi="仿宋" w:eastAsia="仿宋" w:cs="仿宋"/>
          <w:sz w:val="24"/>
          <w:szCs w:val="24"/>
          <w:highlight w:val="none"/>
          <w:u w:val="single"/>
          <w:lang w:eastAsia="zh-CN"/>
        </w:rPr>
        <w:t xml:space="preserve">            </w:t>
      </w:r>
    </w:p>
    <w:p w14:paraId="12AB1F28">
      <w:pPr>
        <w:pStyle w:val="25"/>
        <w:tabs>
          <w:tab w:val="left" w:pos="4200"/>
        </w:tabs>
        <w:snapToGrid w:val="0"/>
        <w:spacing w:line="360" w:lineRule="auto"/>
        <w:ind w:left="5040" w:hanging="5040" w:hangingChars="2100"/>
        <w:jc w:val="both"/>
        <w:rPr>
          <w:rFonts w:hint="default" w:ascii="仿宋" w:hAnsi="仿宋" w:eastAsia="仿宋" w:cs="仿宋"/>
          <w:sz w:val="24"/>
          <w:szCs w:val="24"/>
          <w:highlight w:val="none"/>
          <w:u w:val="single"/>
          <w:lang w:eastAsia="zh-CN"/>
        </w:rPr>
      </w:pPr>
      <w:r>
        <w:rPr>
          <w:rFonts w:ascii="仿宋" w:hAnsi="仿宋" w:eastAsia="仿宋" w:cs="仿宋"/>
          <w:color w:val="000000"/>
          <w:sz w:val="24"/>
          <w:szCs w:val="24"/>
        </w:rPr>
        <w:t>开户行：</w:t>
      </w:r>
      <w:r>
        <w:rPr>
          <w:rFonts w:ascii="仿宋" w:hAnsi="仿宋" w:eastAsia="仿宋" w:cs="仿宋"/>
          <w:sz w:val="24"/>
          <w:szCs w:val="24"/>
          <w:u w:val="single"/>
        </w:rPr>
        <w:t xml:space="preserve">  </w:t>
      </w:r>
      <w:r>
        <w:rPr>
          <w:rFonts w:ascii="仿宋" w:hAnsi="仿宋" w:eastAsia="仿宋" w:cs="仿宋"/>
          <w:sz w:val="24"/>
          <w:szCs w:val="24"/>
          <w:u w:val="single"/>
          <w:lang w:eastAsia="zh-CN"/>
        </w:rPr>
        <w:t>建行惠州江北支行</w:t>
      </w:r>
      <w:r>
        <w:rPr>
          <w:rFonts w:ascii="仿宋" w:hAnsi="仿宋" w:eastAsia="仿宋" w:cs="仿宋"/>
          <w:sz w:val="24"/>
          <w:szCs w:val="24"/>
          <w:u w:val="single"/>
        </w:rPr>
        <w:t xml:space="preserve">  </w:t>
      </w:r>
      <w:r>
        <w:rPr>
          <w:rFonts w:ascii="仿宋" w:hAnsi="仿宋" w:eastAsia="仿宋" w:cs="仿宋"/>
          <w:color w:val="000000"/>
          <w:sz w:val="24"/>
          <w:szCs w:val="24"/>
        </w:rPr>
        <w:t xml:space="preserve">  </w:t>
      </w:r>
      <w:r>
        <w:rPr>
          <w:rFonts w:ascii="仿宋" w:hAnsi="仿宋" w:eastAsia="仿宋" w:cs="仿宋"/>
          <w:color w:val="000000"/>
          <w:sz w:val="24"/>
          <w:szCs w:val="24"/>
          <w:lang w:eastAsia="zh-CN"/>
        </w:rPr>
        <w:tab/>
      </w:r>
      <w:r>
        <w:rPr>
          <w:rFonts w:ascii="仿宋" w:hAnsi="仿宋" w:eastAsia="仿宋" w:cs="仿宋"/>
          <w:color w:val="000000"/>
          <w:sz w:val="24"/>
          <w:szCs w:val="24"/>
        </w:rPr>
        <w:t>开户行：</w:t>
      </w:r>
      <w:r>
        <w:rPr>
          <w:rFonts w:ascii="仿宋" w:hAnsi="仿宋" w:eastAsia="仿宋" w:cs="仿宋"/>
          <w:sz w:val="24"/>
          <w:szCs w:val="24"/>
          <w:highlight w:val="none"/>
          <w:u w:val="single"/>
          <w:lang w:eastAsia="zh-CN"/>
        </w:rPr>
        <w:t xml:space="preserve">                     </w:t>
      </w:r>
    </w:p>
    <w:p w14:paraId="15EEAB75">
      <w:pPr>
        <w:pStyle w:val="25"/>
        <w:tabs>
          <w:tab w:val="left" w:pos="4200"/>
        </w:tabs>
        <w:snapToGrid w:val="0"/>
        <w:spacing w:line="360" w:lineRule="auto"/>
        <w:jc w:val="both"/>
        <w:rPr>
          <w:rFonts w:hint="default" w:ascii="仿宋" w:hAnsi="仿宋" w:eastAsia="仿宋" w:cs="仿宋"/>
          <w:color w:val="000000"/>
          <w:sz w:val="24"/>
          <w:szCs w:val="24"/>
          <w:u w:val="single"/>
          <w:lang w:eastAsia="zh-CN"/>
        </w:rPr>
      </w:pPr>
      <w:r>
        <w:rPr>
          <w:rFonts w:ascii="仿宋" w:hAnsi="仿宋" w:eastAsia="仿宋" w:cs="仿宋"/>
          <w:color w:val="000000"/>
          <w:sz w:val="24"/>
          <w:szCs w:val="24"/>
          <w:lang w:eastAsia="zh-CN"/>
        </w:rPr>
        <w:t>账号</w:t>
      </w:r>
      <w:r>
        <w:rPr>
          <w:rFonts w:ascii="仿宋" w:hAnsi="仿宋" w:eastAsia="仿宋" w:cs="仿宋"/>
          <w:color w:val="000000"/>
          <w:sz w:val="24"/>
          <w:szCs w:val="24"/>
        </w:rPr>
        <w:t>：</w:t>
      </w:r>
      <w:r>
        <w:rPr>
          <w:rFonts w:ascii="仿宋" w:hAnsi="仿宋" w:eastAsia="仿宋" w:cs="仿宋"/>
          <w:sz w:val="24"/>
          <w:szCs w:val="24"/>
          <w:u w:val="single"/>
          <w:lang w:eastAsia="zh-CN"/>
        </w:rPr>
        <w:t>44001718735059333333</w:t>
      </w:r>
      <w:r>
        <w:rPr>
          <w:rFonts w:ascii="仿宋" w:hAnsi="仿宋" w:eastAsia="仿宋" w:cs="仿宋"/>
          <w:color w:val="000000"/>
          <w:sz w:val="24"/>
          <w:szCs w:val="24"/>
        </w:rPr>
        <w:t xml:space="preserve">  </w:t>
      </w:r>
      <w:r>
        <w:rPr>
          <w:rFonts w:ascii="仿宋" w:hAnsi="仿宋" w:eastAsia="仿宋" w:cs="仿宋"/>
          <w:color w:val="000000"/>
          <w:sz w:val="24"/>
          <w:szCs w:val="24"/>
          <w:lang w:eastAsia="zh-CN"/>
        </w:rPr>
        <w:tab/>
      </w:r>
      <w:r>
        <w:rPr>
          <w:rFonts w:ascii="仿宋" w:hAnsi="仿宋" w:eastAsia="仿宋" w:cs="仿宋"/>
          <w:color w:val="000000"/>
          <w:sz w:val="24"/>
          <w:szCs w:val="24"/>
          <w:lang w:eastAsia="zh-CN"/>
        </w:rPr>
        <w:t>账号</w:t>
      </w:r>
      <w:r>
        <w:rPr>
          <w:rFonts w:ascii="仿宋" w:hAnsi="仿宋" w:eastAsia="仿宋" w:cs="仿宋"/>
          <w:color w:val="000000"/>
          <w:sz w:val="24"/>
          <w:szCs w:val="24"/>
        </w:rPr>
        <w:t>：</w:t>
      </w:r>
      <w:r>
        <w:rPr>
          <w:rFonts w:ascii="仿宋" w:hAnsi="仿宋" w:eastAsia="仿宋" w:cs="仿宋"/>
          <w:sz w:val="24"/>
          <w:szCs w:val="24"/>
          <w:highlight w:val="none"/>
          <w:u w:val="single"/>
          <w:lang w:eastAsia="zh-CN"/>
        </w:rPr>
        <w:t xml:space="preserve">                       </w:t>
      </w:r>
    </w:p>
    <w:p w14:paraId="5069F304">
      <w:pPr>
        <w:pStyle w:val="25"/>
        <w:tabs>
          <w:tab w:val="left" w:pos="4200"/>
        </w:tabs>
        <w:snapToGrid w:val="0"/>
        <w:spacing w:line="360" w:lineRule="auto"/>
        <w:jc w:val="both"/>
        <w:rPr>
          <w:rFonts w:hint="default" w:ascii="仿宋" w:hAnsi="仿宋" w:eastAsia="仿宋" w:cs="仿宋"/>
          <w:color w:val="000000"/>
          <w:sz w:val="24"/>
          <w:szCs w:val="24"/>
        </w:rPr>
      </w:pPr>
      <w:r>
        <w:rPr>
          <w:rFonts w:ascii="仿宋" w:hAnsi="仿宋" w:eastAsia="仿宋" w:cs="仿宋"/>
          <w:color w:val="000000"/>
          <w:sz w:val="24"/>
          <w:szCs w:val="24"/>
        </w:rPr>
        <w:t>税号：</w:t>
      </w:r>
      <w:r>
        <w:rPr>
          <w:rFonts w:ascii="仿宋" w:hAnsi="仿宋" w:eastAsia="仿宋" w:cs="仿宋"/>
          <w:color w:val="000000"/>
          <w:sz w:val="24"/>
          <w:szCs w:val="24"/>
          <w:u w:val="single"/>
        </w:rPr>
        <w:t>12441300690482894G</w:t>
      </w:r>
    </w:p>
    <w:p w14:paraId="00318B31">
      <w:pPr>
        <w:pStyle w:val="25"/>
        <w:snapToGrid w:val="0"/>
        <w:spacing w:line="360" w:lineRule="auto"/>
        <w:jc w:val="both"/>
        <w:rPr>
          <w:rFonts w:hint="default" w:ascii="仿宋" w:hAnsi="仿宋" w:eastAsia="仿宋" w:cs="仿宋"/>
          <w:color w:val="000000"/>
          <w:sz w:val="24"/>
          <w:szCs w:val="24"/>
        </w:rPr>
      </w:pPr>
    </w:p>
    <w:p w14:paraId="25C7E751">
      <w:pPr>
        <w:pStyle w:val="25"/>
        <w:snapToGrid w:val="0"/>
        <w:spacing w:line="360" w:lineRule="auto"/>
        <w:jc w:val="both"/>
        <w:rPr>
          <w:rFonts w:hint="default" w:ascii="仿宋" w:hAnsi="仿宋" w:eastAsia="仿宋" w:cs="仿宋"/>
          <w:sz w:val="24"/>
          <w:szCs w:val="24"/>
        </w:rPr>
      </w:pPr>
      <w:r>
        <w:rPr>
          <w:rFonts w:ascii="仿宋" w:hAnsi="仿宋" w:eastAsia="仿宋" w:cs="仿宋"/>
          <w:color w:val="000000"/>
          <w:sz w:val="24"/>
          <w:szCs w:val="24"/>
        </w:rPr>
        <w:t>签约日期：</w:t>
      </w:r>
      <w:r>
        <w:rPr>
          <w:rFonts w:ascii="仿宋" w:hAnsi="仿宋" w:eastAsia="仿宋" w:cs="仿宋"/>
          <w:color w:val="000000"/>
          <w:sz w:val="24"/>
          <w:szCs w:val="24"/>
          <w:u w:val="single"/>
          <w:lang w:eastAsia="zh-CN"/>
        </w:rPr>
        <w:t xml:space="preserve">      </w:t>
      </w:r>
      <w:r>
        <w:rPr>
          <w:rFonts w:ascii="仿宋" w:hAnsi="仿宋" w:eastAsia="仿宋" w:cs="仿宋"/>
          <w:color w:val="000000"/>
          <w:sz w:val="24"/>
          <w:szCs w:val="24"/>
        </w:rPr>
        <w:t>年</w:t>
      </w:r>
      <w:r>
        <w:rPr>
          <w:rFonts w:ascii="仿宋" w:hAnsi="仿宋" w:eastAsia="仿宋" w:cs="仿宋"/>
          <w:color w:val="000000"/>
          <w:sz w:val="24"/>
          <w:szCs w:val="24"/>
          <w:u w:val="single"/>
          <w:lang w:eastAsia="zh-CN"/>
        </w:rPr>
        <w:t xml:space="preserve">    </w:t>
      </w:r>
      <w:r>
        <w:rPr>
          <w:rFonts w:ascii="仿宋" w:hAnsi="仿宋" w:eastAsia="仿宋" w:cs="仿宋"/>
          <w:color w:val="000000"/>
          <w:sz w:val="24"/>
          <w:szCs w:val="24"/>
        </w:rPr>
        <w:t>月</w:t>
      </w:r>
      <w:r>
        <w:rPr>
          <w:rFonts w:ascii="仿宋" w:hAnsi="仿宋" w:eastAsia="仿宋" w:cs="仿宋"/>
          <w:color w:val="000000"/>
          <w:sz w:val="24"/>
          <w:szCs w:val="24"/>
          <w:u w:val="single"/>
          <w:lang w:eastAsia="zh-CN"/>
        </w:rPr>
        <w:t xml:space="preserve">    </w:t>
      </w:r>
      <w:r>
        <w:rPr>
          <w:rFonts w:ascii="仿宋" w:hAnsi="仿宋" w:eastAsia="仿宋" w:cs="仿宋"/>
          <w:color w:val="000000"/>
          <w:sz w:val="24"/>
          <w:szCs w:val="24"/>
        </w:rPr>
        <w:t>日</w:t>
      </w:r>
    </w:p>
    <w:p w14:paraId="04E51C39">
      <w:pPr>
        <w:pStyle w:val="25"/>
        <w:snapToGrid w:val="0"/>
        <w:spacing w:line="360" w:lineRule="auto"/>
        <w:jc w:val="both"/>
        <w:rPr>
          <w:rFonts w:hint="default" w:ascii="仿宋" w:hAnsi="仿宋" w:eastAsia="仿宋" w:cs="仿宋"/>
          <w:sz w:val="24"/>
          <w:szCs w:val="24"/>
        </w:rPr>
      </w:pPr>
      <w:r>
        <w:rPr>
          <w:rFonts w:ascii="仿宋" w:hAnsi="仿宋" w:eastAsia="仿宋" w:cs="仿宋"/>
          <w:color w:val="000000"/>
          <w:sz w:val="24"/>
          <w:szCs w:val="24"/>
        </w:rPr>
        <w:t>签约地点：惠州市第一人民医院</w:t>
      </w:r>
    </w:p>
    <w:p w14:paraId="40C60F0F">
      <w:pPr>
        <w:pStyle w:val="25"/>
        <w:spacing w:line="360" w:lineRule="auto"/>
        <w:jc w:val="both"/>
        <w:rPr>
          <w:rFonts w:hint="default" w:ascii="仿宋" w:hAnsi="仿宋" w:eastAsia="仿宋" w:cs="仿宋"/>
          <w:color w:val="000000"/>
          <w:sz w:val="24"/>
          <w:szCs w:val="24"/>
          <w:lang w:eastAsia="zh-CN"/>
        </w:rPr>
      </w:pPr>
    </w:p>
    <w:p w14:paraId="78210143">
      <w:pPr>
        <w:pStyle w:val="25"/>
        <w:spacing w:line="360" w:lineRule="auto"/>
        <w:jc w:val="both"/>
        <w:rPr>
          <w:rFonts w:hint="default" w:ascii="仿宋" w:hAnsi="仿宋" w:eastAsia="仿宋" w:cs="仿宋"/>
          <w:color w:val="000000"/>
          <w:sz w:val="24"/>
          <w:szCs w:val="24"/>
          <w:lang w:eastAsia="zh-CN"/>
        </w:rPr>
      </w:pPr>
      <w:r>
        <w:rPr>
          <w:rFonts w:ascii="仿宋" w:hAnsi="仿宋" w:eastAsia="仿宋" w:cs="仿宋"/>
          <w:color w:val="000000"/>
          <w:sz w:val="24"/>
          <w:szCs w:val="24"/>
          <w:lang w:eastAsia="zh-CN"/>
        </w:rPr>
        <w:t>附件：</w:t>
      </w:r>
    </w:p>
    <w:p w14:paraId="5E204BF9">
      <w:pPr>
        <w:pStyle w:val="25"/>
        <w:numPr>
          <w:ilvl w:val="0"/>
          <w:numId w:val="11"/>
        </w:numPr>
        <w:spacing w:line="360" w:lineRule="auto"/>
        <w:jc w:val="both"/>
        <w:rPr>
          <w:rFonts w:hint="default" w:ascii="仿宋" w:hAnsi="仿宋" w:eastAsia="仿宋" w:cs="仿宋"/>
          <w:color w:val="000000"/>
          <w:sz w:val="24"/>
          <w:szCs w:val="24"/>
        </w:rPr>
      </w:pPr>
      <w:r>
        <w:rPr>
          <w:rFonts w:ascii="仿宋" w:hAnsi="仿宋" w:eastAsia="仿宋" w:cs="仿宋"/>
          <w:color w:val="000000"/>
          <w:sz w:val="24"/>
          <w:szCs w:val="24"/>
        </w:rPr>
        <w:t>配置清单</w:t>
      </w:r>
    </w:p>
    <w:p w14:paraId="5BD522EC">
      <w:pPr>
        <w:pStyle w:val="25"/>
        <w:numPr>
          <w:ilvl w:val="0"/>
          <w:numId w:val="11"/>
        </w:numPr>
        <w:spacing w:line="360" w:lineRule="auto"/>
        <w:jc w:val="both"/>
        <w:rPr>
          <w:rFonts w:hint="default" w:ascii="仿宋" w:hAnsi="仿宋" w:eastAsia="仿宋" w:cs="仿宋"/>
          <w:bCs/>
          <w:color w:val="000000"/>
          <w:sz w:val="24"/>
          <w:szCs w:val="24"/>
        </w:rPr>
      </w:pPr>
      <w:r>
        <w:rPr>
          <w:rFonts w:ascii="仿宋" w:hAnsi="仿宋" w:eastAsia="仿宋" w:cs="仿宋"/>
          <w:bCs/>
          <w:color w:val="000000"/>
          <w:sz w:val="24"/>
          <w:szCs w:val="24"/>
        </w:rPr>
        <w:t>医疗卫生机构医药产品廉洁购销合同</w:t>
      </w:r>
    </w:p>
    <w:p w14:paraId="688D2631">
      <w:pPr>
        <w:pStyle w:val="25"/>
        <w:spacing w:line="360" w:lineRule="auto"/>
        <w:jc w:val="both"/>
        <w:rPr>
          <w:rFonts w:hint="default" w:ascii="仿宋" w:hAnsi="仿宋" w:eastAsia="仿宋" w:cs="仿宋"/>
          <w:bCs/>
          <w:color w:val="000000"/>
          <w:sz w:val="24"/>
          <w:szCs w:val="24"/>
          <w:lang w:eastAsia="zh-CN"/>
        </w:rPr>
        <w:sectPr>
          <w:footerReference r:id="rId3" w:type="default"/>
          <w:pgSz w:w="11906" w:h="16838"/>
          <w:pgMar w:top="1440" w:right="1800" w:bottom="1440" w:left="1800" w:header="851" w:footer="850" w:gutter="0"/>
          <w:cols w:space="720" w:num="1"/>
          <w:docGrid w:type="linesAndChars" w:linePitch="312" w:charSpace="0"/>
        </w:sectPr>
      </w:pPr>
    </w:p>
    <w:p w14:paraId="1E383368">
      <w:pPr>
        <w:spacing w:line="360" w:lineRule="auto"/>
        <w:rPr>
          <w:rFonts w:ascii="仿宋" w:hAnsi="仿宋" w:eastAsia="仿宋" w:cs="仿宋"/>
          <w:color w:val="000000"/>
          <w:sz w:val="24"/>
        </w:rPr>
      </w:pPr>
      <w:r>
        <w:rPr>
          <w:rFonts w:hint="eastAsia" w:ascii="仿宋" w:hAnsi="仿宋" w:eastAsia="仿宋" w:cs="仿宋"/>
          <w:color w:val="000000"/>
          <w:sz w:val="24"/>
        </w:rPr>
        <w:t>附件一：配置清单</w:t>
      </w:r>
    </w:p>
    <w:tbl>
      <w:tblPr>
        <w:tblStyle w:val="20"/>
        <w:tblW w:w="9420" w:type="dxa"/>
        <w:jc w:val="center"/>
        <w:tblLayout w:type="autofit"/>
        <w:tblCellMar>
          <w:top w:w="0" w:type="dxa"/>
          <w:left w:w="108" w:type="dxa"/>
          <w:bottom w:w="0" w:type="dxa"/>
          <w:right w:w="108" w:type="dxa"/>
        </w:tblCellMar>
      </w:tblPr>
      <w:tblGrid>
        <w:gridCol w:w="815"/>
        <w:gridCol w:w="4486"/>
        <w:gridCol w:w="750"/>
        <w:gridCol w:w="859"/>
        <w:gridCol w:w="2510"/>
      </w:tblGrid>
      <w:tr w14:paraId="0BDEB4E9">
        <w:tblPrEx>
          <w:tblCellMar>
            <w:top w:w="0" w:type="dxa"/>
            <w:left w:w="108" w:type="dxa"/>
            <w:bottom w:w="0" w:type="dxa"/>
            <w:right w:w="108" w:type="dxa"/>
          </w:tblCellMar>
        </w:tblPrEx>
        <w:trPr>
          <w:trHeight w:val="2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E9A2">
            <w:pPr>
              <w:widowControl/>
              <w:jc w:val="center"/>
              <w:textAlignment w:val="top"/>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3041">
            <w:pPr>
              <w:widowControl/>
              <w:jc w:val="center"/>
              <w:textAlignment w:val="top"/>
              <w:rPr>
                <w:rFonts w:ascii="仿宋" w:hAnsi="仿宋" w:eastAsia="仿宋" w:cs="仿宋"/>
                <w:b/>
                <w:bCs/>
                <w:color w:val="000000"/>
                <w:sz w:val="24"/>
              </w:rPr>
            </w:pPr>
            <w:r>
              <w:rPr>
                <w:rFonts w:hint="eastAsia" w:ascii="仿宋" w:hAnsi="仿宋" w:eastAsia="仿宋" w:cs="仿宋"/>
                <w:b/>
                <w:bCs/>
                <w:color w:val="000000"/>
                <w:kern w:val="0"/>
                <w:sz w:val="24"/>
                <w:lang w:bidi="ar"/>
              </w:rPr>
              <w:t>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FB7C">
            <w:pPr>
              <w:widowControl/>
              <w:jc w:val="center"/>
              <w:textAlignment w:val="top"/>
              <w:rPr>
                <w:rFonts w:ascii="仿宋" w:hAnsi="仿宋" w:eastAsia="仿宋" w:cs="仿宋"/>
                <w:b/>
                <w:bCs/>
                <w:color w:val="000000"/>
                <w:sz w:val="24"/>
              </w:rPr>
            </w:pPr>
            <w:r>
              <w:rPr>
                <w:rFonts w:hint="eastAsia" w:ascii="仿宋" w:hAnsi="仿宋" w:eastAsia="仿宋" w:cs="仿宋"/>
                <w:b/>
                <w:bCs/>
                <w:color w:val="000000"/>
                <w:kern w:val="0"/>
                <w:sz w:val="24"/>
                <w:lang w:bidi="ar"/>
              </w:rPr>
              <w:t>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CCF6">
            <w:pPr>
              <w:widowControl/>
              <w:jc w:val="center"/>
              <w:textAlignment w:val="top"/>
              <w:rPr>
                <w:rFonts w:ascii="仿宋" w:hAnsi="仿宋" w:eastAsia="仿宋" w:cs="仿宋"/>
                <w:b/>
                <w:bCs/>
                <w:color w:val="000000"/>
                <w:sz w:val="24"/>
              </w:rPr>
            </w:pPr>
            <w:r>
              <w:rPr>
                <w:rFonts w:hint="eastAsia" w:ascii="仿宋" w:hAnsi="仿宋" w:eastAsia="仿宋" w:cs="仿宋"/>
                <w:b/>
                <w:bCs/>
                <w:color w:val="000000"/>
                <w:kern w:val="0"/>
                <w:sz w:val="24"/>
                <w:lang w:bidi="ar"/>
              </w:rPr>
              <w:t>数量</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239B">
            <w:pPr>
              <w:widowControl/>
              <w:jc w:val="center"/>
              <w:textAlignment w:val="top"/>
              <w:rPr>
                <w:rFonts w:ascii="仿宋" w:hAnsi="仿宋" w:eastAsia="仿宋" w:cs="仿宋"/>
                <w:b/>
                <w:bCs/>
                <w:color w:val="000000"/>
                <w:sz w:val="24"/>
              </w:rPr>
            </w:pPr>
            <w:r>
              <w:rPr>
                <w:rFonts w:hint="eastAsia" w:ascii="仿宋" w:hAnsi="仿宋" w:eastAsia="仿宋" w:cs="仿宋"/>
                <w:b/>
                <w:bCs/>
                <w:color w:val="000000"/>
                <w:kern w:val="0"/>
                <w:sz w:val="24"/>
                <w:lang w:bidi="ar"/>
              </w:rPr>
              <w:t>备注</w:t>
            </w:r>
            <w:r>
              <w:rPr>
                <w:rFonts w:hint="eastAsia" w:ascii="仿宋" w:hAnsi="仿宋" w:eastAsia="仿宋" w:cs="仿宋"/>
                <w:b/>
                <w:bCs/>
                <w:color w:val="000000"/>
                <w:kern w:val="0"/>
                <w:sz w:val="24"/>
                <w:highlight w:val="none"/>
                <w:lang w:bidi="ar"/>
              </w:rPr>
              <w:t>（须注明</w:t>
            </w:r>
            <w:r>
              <w:rPr>
                <w:rFonts w:hint="eastAsia" w:ascii="仿宋" w:hAnsi="仿宋" w:eastAsia="仿宋" w:cs="仿宋"/>
                <w:color w:val="000000"/>
                <w:sz w:val="24"/>
                <w:highlight w:val="none"/>
              </w:rPr>
              <w:t>原厂设备、易损件</w:t>
            </w:r>
            <w:r>
              <w:rPr>
                <w:rFonts w:hint="eastAsia" w:ascii="仿宋" w:hAnsi="仿宋" w:eastAsia="仿宋" w:cs="仿宋"/>
                <w:b/>
                <w:bCs/>
                <w:color w:val="000000"/>
                <w:kern w:val="0"/>
                <w:sz w:val="24"/>
                <w:highlight w:val="none"/>
                <w:lang w:bidi="ar"/>
              </w:rPr>
              <w:t>）</w:t>
            </w:r>
          </w:p>
        </w:tc>
      </w:tr>
      <w:tr w14:paraId="2864CA27">
        <w:tblPrEx>
          <w:tblCellMar>
            <w:top w:w="0" w:type="dxa"/>
            <w:left w:w="108" w:type="dxa"/>
            <w:bottom w:w="0" w:type="dxa"/>
            <w:right w:w="108" w:type="dxa"/>
          </w:tblCellMar>
        </w:tblPrEx>
        <w:trPr>
          <w:trHeight w:val="2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D2ED">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5AE4">
            <w:pPr>
              <w:widowControl/>
              <w:jc w:val="center"/>
              <w:textAlignment w:val="center"/>
              <w:rPr>
                <w:rFonts w:ascii="仿宋" w:hAnsi="仿宋" w:eastAsia="仿宋" w:cs="仿宋"/>
                <w:color w:val="000000"/>
                <w:kern w:val="0"/>
                <w:sz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B05E">
            <w:pPr>
              <w:widowControl/>
              <w:jc w:val="center"/>
              <w:textAlignment w:val="center"/>
              <w:rPr>
                <w:rFonts w:ascii="仿宋" w:hAnsi="仿宋" w:eastAsia="仿宋" w:cs="仿宋"/>
                <w:color w:val="000000"/>
                <w:kern w:val="0"/>
                <w:sz w:val="24"/>
                <w:lang w:bidi="ar"/>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FA07">
            <w:pPr>
              <w:widowControl/>
              <w:jc w:val="center"/>
              <w:textAlignment w:val="center"/>
              <w:rPr>
                <w:rFonts w:ascii="仿宋" w:hAnsi="仿宋" w:eastAsia="仿宋" w:cs="仿宋"/>
                <w:color w:val="000000"/>
                <w:kern w:val="0"/>
                <w:sz w:val="24"/>
                <w:lang w:bidi="ar"/>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E375">
            <w:pPr>
              <w:widowControl/>
              <w:jc w:val="center"/>
              <w:textAlignment w:val="center"/>
              <w:rPr>
                <w:rFonts w:ascii="仿宋" w:hAnsi="仿宋" w:eastAsia="仿宋" w:cs="仿宋"/>
                <w:color w:val="000000"/>
                <w:sz w:val="24"/>
                <w:highlight w:val="yellow"/>
              </w:rPr>
            </w:pPr>
          </w:p>
        </w:tc>
      </w:tr>
      <w:tr w14:paraId="71FFF154">
        <w:tblPrEx>
          <w:tblCellMar>
            <w:top w:w="0" w:type="dxa"/>
            <w:left w:w="108" w:type="dxa"/>
            <w:bottom w:w="0" w:type="dxa"/>
            <w:right w:w="108" w:type="dxa"/>
          </w:tblCellMar>
        </w:tblPrEx>
        <w:trPr>
          <w:trHeight w:val="2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5CF7">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0E1C">
            <w:pPr>
              <w:widowControl/>
              <w:jc w:val="center"/>
              <w:textAlignment w:val="center"/>
              <w:rPr>
                <w:rFonts w:ascii="仿宋" w:hAnsi="仿宋" w:eastAsia="仿宋" w:cs="仿宋"/>
                <w:color w:val="000000"/>
                <w:kern w:val="0"/>
                <w:sz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AE84">
            <w:pPr>
              <w:widowControl/>
              <w:jc w:val="center"/>
              <w:textAlignment w:val="center"/>
              <w:rPr>
                <w:rFonts w:ascii="仿宋" w:hAnsi="仿宋" w:eastAsia="仿宋" w:cs="仿宋"/>
                <w:color w:val="000000"/>
                <w:kern w:val="0"/>
                <w:sz w:val="24"/>
                <w:lang w:bidi="ar"/>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73C7">
            <w:pPr>
              <w:widowControl/>
              <w:jc w:val="center"/>
              <w:textAlignment w:val="center"/>
              <w:rPr>
                <w:rFonts w:ascii="仿宋" w:hAnsi="仿宋" w:eastAsia="仿宋" w:cs="仿宋"/>
                <w:color w:val="000000"/>
                <w:kern w:val="0"/>
                <w:sz w:val="24"/>
                <w:lang w:bidi="ar"/>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E6E7">
            <w:pPr>
              <w:widowControl/>
              <w:jc w:val="center"/>
              <w:rPr>
                <w:rFonts w:ascii="仿宋" w:hAnsi="仿宋" w:eastAsia="仿宋" w:cs="仿宋"/>
                <w:color w:val="000000"/>
                <w:sz w:val="24"/>
                <w:highlight w:val="yellow"/>
              </w:rPr>
            </w:pPr>
          </w:p>
        </w:tc>
      </w:tr>
      <w:tr w14:paraId="5CCB2541">
        <w:tblPrEx>
          <w:tblCellMar>
            <w:top w:w="0" w:type="dxa"/>
            <w:left w:w="108" w:type="dxa"/>
            <w:bottom w:w="0" w:type="dxa"/>
            <w:right w:w="108" w:type="dxa"/>
          </w:tblCellMar>
        </w:tblPrEx>
        <w:trPr>
          <w:trHeight w:val="28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6B5E">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40DB">
            <w:pPr>
              <w:widowControl/>
              <w:jc w:val="center"/>
              <w:textAlignment w:val="center"/>
              <w:rPr>
                <w:rFonts w:ascii="仿宋" w:hAnsi="仿宋" w:eastAsia="仿宋" w:cs="仿宋"/>
                <w:color w:val="000000"/>
                <w:kern w:val="0"/>
                <w:sz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B006">
            <w:pPr>
              <w:widowControl/>
              <w:jc w:val="center"/>
              <w:textAlignment w:val="center"/>
              <w:rPr>
                <w:rFonts w:ascii="仿宋" w:hAnsi="仿宋" w:eastAsia="仿宋" w:cs="仿宋"/>
                <w:color w:val="000000"/>
                <w:kern w:val="0"/>
                <w:sz w:val="24"/>
                <w:lang w:bidi="ar"/>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005A">
            <w:pPr>
              <w:widowControl/>
              <w:jc w:val="center"/>
              <w:textAlignment w:val="center"/>
              <w:rPr>
                <w:rFonts w:ascii="仿宋" w:hAnsi="仿宋" w:eastAsia="仿宋" w:cs="仿宋"/>
                <w:color w:val="000000"/>
                <w:kern w:val="0"/>
                <w:sz w:val="24"/>
                <w:lang w:bidi="ar"/>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7AF4">
            <w:pPr>
              <w:widowControl/>
              <w:jc w:val="center"/>
              <w:rPr>
                <w:rFonts w:ascii="仿宋" w:hAnsi="仿宋" w:eastAsia="仿宋" w:cs="仿宋"/>
                <w:color w:val="000000"/>
                <w:sz w:val="24"/>
                <w:highlight w:val="yellow"/>
              </w:rPr>
            </w:pPr>
          </w:p>
        </w:tc>
      </w:tr>
      <w:tr w14:paraId="734D2D0F">
        <w:tblPrEx>
          <w:tblCellMar>
            <w:top w:w="0" w:type="dxa"/>
            <w:left w:w="108" w:type="dxa"/>
            <w:bottom w:w="0" w:type="dxa"/>
            <w:right w:w="108" w:type="dxa"/>
          </w:tblCellMar>
        </w:tblPrEx>
        <w:trPr>
          <w:trHeight w:val="2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BA5B">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B03A">
            <w:pPr>
              <w:widowControl/>
              <w:jc w:val="center"/>
              <w:textAlignment w:val="center"/>
              <w:rPr>
                <w:rFonts w:ascii="仿宋" w:hAnsi="仿宋" w:eastAsia="仿宋" w:cs="仿宋"/>
                <w:color w:val="000000"/>
                <w:kern w:val="0"/>
                <w:sz w:val="24"/>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C910">
            <w:pPr>
              <w:widowControl/>
              <w:jc w:val="center"/>
              <w:textAlignment w:val="center"/>
              <w:rPr>
                <w:rFonts w:ascii="仿宋" w:hAnsi="仿宋" w:eastAsia="仿宋" w:cs="仿宋"/>
                <w:color w:val="000000"/>
                <w:kern w:val="0"/>
                <w:sz w:val="24"/>
                <w:lang w:bidi="ar"/>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8A52">
            <w:pPr>
              <w:widowControl/>
              <w:jc w:val="center"/>
              <w:textAlignment w:val="center"/>
              <w:rPr>
                <w:rFonts w:ascii="仿宋" w:hAnsi="仿宋" w:eastAsia="仿宋" w:cs="仿宋"/>
                <w:color w:val="000000"/>
                <w:kern w:val="0"/>
                <w:sz w:val="24"/>
                <w:lang w:bidi="ar"/>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97F2">
            <w:pPr>
              <w:widowControl/>
              <w:jc w:val="center"/>
              <w:textAlignment w:val="center"/>
              <w:rPr>
                <w:rFonts w:ascii="仿宋" w:hAnsi="仿宋" w:eastAsia="仿宋" w:cs="仿宋"/>
                <w:color w:val="000000"/>
                <w:sz w:val="24"/>
                <w:highlight w:val="yellow"/>
              </w:rPr>
            </w:pPr>
          </w:p>
        </w:tc>
      </w:tr>
      <w:tr w14:paraId="0F83290E">
        <w:tblPrEx>
          <w:tblCellMar>
            <w:top w:w="0" w:type="dxa"/>
            <w:left w:w="108" w:type="dxa"/>
            <w:bottom w:w="0" w:type="dxa"/>
            <w:right w:w="108" w:type="dxa"/>
          </w:tblCellMar>
        </w:tblPrEx>
        <w:trPr>
          <w:trHeight w:val="2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3E7F">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2C95">
            <w:pPr>
              <w:widowControl/>
              <w:jc w:val="center"/>
              <w:textAlignment w:val="center"/>
              <w:rPr>
                <w:rFonts w:ascii="仿宋" w:hAnsi="仿宋" w:eastAsia="仿宋" w:cs="仿宋"/>
                <w:color w:val="000000"/>
                <w:sz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EA52">
            <w:pPr>
              <w:widowControl/>
              <w:jc w:val="center"/>
              <w:textAlignment w:val="center"/>
              <w:rPr>
                <w:rFonts w:ascii="仿宋" w:hAnsi="仿宋" w:eastAsia="仿宋" w:cs="仿宋"/>
                <w:color w:val="000000"/>
                <w:kern w:val="0"/>
                <w:sz w:val="24"/>
                <w:lang w:bidi="ar"/>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4DAD">
            <w:pPr>
              <w:widowControl/>
              <w:jc w:val="center"/>
              <w:textAlignment w:val="center"/>
              <w:rPr>
                <w:rFonts w:ascii="仿宋" w:hAnsi="仿宋" w:eastAsia="仿宋" w:cs="仿宋"/>
                <w:color w:val="000000"/>
                <w:sz w:val="24"/>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8B1A">
            <w:pPr>
              <w:widowControl/>
              <w:jc w:val="center"/>
              <w:rPr>
                <w:rFonts w:ascii="仿宋" w:hAnsi="仿宋" w:eastAsia="仿宋" w:cs="仿宋"/>
                <w:color w:val="000000"/>
                <w:sz w:val="24"/>
                <w:highlight w:val="yellow"/>
              </w:rPr>
            </w:pPr>
          </w:p>
        </w:tc>
      </w:tr>
      <w:tr w14:paraId="12AD82FE">
        <w:tblPrEx>
          <w:tblCellMar>
            <w:top w:w="0" w:type="dxa"/>
            <w:left w:w="108" w:type="dxa"/>
            <w:bottom w:w="0" w:type="dxa"/>
            <w:right w:w="108" w:type="dxa"/>
          </w:tblCellMar>
        </w:tblPrEx>
        <w:trPr>
          <w:trHeight w:val="2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B3A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0C51">
            <w:pPr>
              <w:widowControl/>
              <w:jc w:val="center"/>
              <w:textAlignment w:val="center"/>
              <w:rPr>
                <w:rFonts w:ascii="仿宋" w:hAnsi="仿宋" w:eastAsia="仿宋" w:cs="仿宋"/>
                <w:color w:val="000000"/>
                <w:sz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4976">
            <w:pPr>
              <w:widowControl/>
              <w:jc w:val="center"/>
              <w:textAlignment w:val="center"/>
              <w:rPr>
                <w:rFonts w:ascii="仿宋" w:hAnsi="仿宋" w:eastAsia="仿宋" w:cs="仿宋"/>
                <w:color w:val="000000"/>
                <w:kern w:val="0"/>
                <w:sz w:val="24"/>
                <w:lang w:bidi="ar"/>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10F5">
            <w:pPr>
              <w:widowControl/>
              <w:jc w:val="center"/>
              <w:textAlignment w:val="center"/>
              <w:rPr>
                <w:rFonts w:ascii="仿宋" w:hAnsi="仿宋" w:eastAsia="仿宋" w:cs="仿宋"/>
                <w:color w:val="000000"/>
                <w:sz w:val="24"/>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8A18">
            <w:pPr>
              <w:widowControl/>
              <w:jc w:val="center"/>
              <w:textAlignment w:val="center"/>
              <w:rPr>
                <w:rFonts w:ascii="仿宋" w:hAnsi="仿宋" w:eastAsia="仿宋" w:cs="仿宋"/>
                <w:color w:val="000000"/>
                <w:sz w:val="24"/>
                <w:highlight w:val="yellow"/>
              </w:rPr>
            </w:pPr>
          </w:p>
        </w:tc>
      </w:tr>
      <w:tr w14:paraId="02049D35">
        <w:tblPrEx>
          <w:tblCellMar>
            <w:top w:w="0" w:type="dxa"/>
            <w:left w:w="108" w:type="dxa"/>
            <w:bottom w:w="0" w:type="dxa"/>
            <w:right w:w="108" w:type="dxa"/>
          </w:tblCellMar>
        </w:tblPrEx>
        <w:trPr>
          <w:trHeight w:val="2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5B47">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7</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98F2">
            <w:pPr>
              <w:widowControl/>
              <w:jc w:val="center"/>
              <w:textAlignment w:val="center"/>
              <w:rPr>
                <w:rFonts w:ascii="仿宋" w:hAnsi="仿宋" w:eastAsia="仿宋" w:cs="仿宋"/>
                <w:color w:val="000000"/>
                <w:sz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8DB2">
            <w:pPr>
              <w:widowControl/>
              <w:jc w:val="center"/>
              <w:textAlignment w:val="center"/>
              <w:rPr>
                <w:rFonts w:ascii="仿宋" w:hAnsi="仿宋" w:eastAsia="仿宋" w:cs="仿宋"/>
                <w:color w:val="000000"/>
                <w:kern w:val="0"/>
                <w:sz w:val="24"/>
                <w:lang w:bidi="ar"/>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A137">
            <w:pPr>
              <w:widowControl/>
              <w:jc w:val="center"/>
              <w:textAlignment w:val="center"/>
              <w:rPr>
                <w:rFonts w:ascii="仿宋" w:hAnsi="仿宋" w:eastAsia="仿宋" w:cs="仿宋"/>
                <w:color w:val="000000"/>
                <w:sz w:val="24"/>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F717">
            <w:pPr>
              <w:widowControl/>
              <w:jc w:val="center"/>
              <w:rPr>
                <w:rFonts w:ascii="仿宋" w:hAnsi="仿宋" w:eastAsia="仿宋" w:cs="仿宋"/>
                <w:color w:val="000000"/>
                <w:sz w:val="24"/>
                <w:highlight w:val="yellow"/>
              </w:rPr>
            </w:pPr>
          </w:p>
        </w:tc>
      </w:tr>
      <w:tr w14:paraId="197DC40E">
        <w:tblPrEx>
          <w:tblCellMar>
            <w:top w:w="0" w:type="dxa"/>
            <w:left w:w="108" w:type="dxa"/>
            <w:bottom w:w="0" w:type="dxa"/>
            <w:right w:w="108" w:type="dxa"/>
          </w:tblCellMar>
        </w:tblPrEx>
        <w:trPr>
          <w:trHeight w:val="2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04F7">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8</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1F47">
            <w:pPr>
              <w:widowControl/>
              <w:jc w:val="center"/>
              <w:textAlignment w:val="center"/>
              <w:rPr>
                <w:rFonts w:ascii="仿宋" w:hAnsi="仿宋" w:eastAsia="仿宋" w:cs="仿宋"/>
                <w:color w:val="000000"/>
                <w:sz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ED61">
            <w:pPr>
              <w:widowControl/>
              <w:jc w:val="center"/>
              <w:textAlignment w:val="center"/>
              <w:rPr>
                <w:rFonts w:ascii="仿宋" w:hAnsi="仿宋" w:eastAsia="仿宋" w:cs="仿宋"/>
                <w:color w:val="000000"/>
                <w:kern w:val="0"/>
                <w:sz w:val="24"/>
                <w:lang w:bidi="ar"/>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3262">
            <w:pPr>
              <w:widowControl/>
              <w:jc w:val="center"/>
              <w:textAlignment w:val="center"/>
              <w:rPr>
                <w:rFonts w:ascii="仿宋" w:hAnsi="仿宋" w:eastAsia="仿宋" w:cs="仿宋"/>
                <w:color w:val="000000"/>
                <w:sz w:val="24"/>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4DF8">
            <w:pPr>
              <w:widowControl/>
              <w:jc w:val="center"/>
              <w:rPr>
                <w:rFonts w:ascii="仿宋" w:hAnsi="仿宋" w:eastAsia="仿宋" w:cs="仿宋"/>
                <w:color w:val="000000"/>
                <w:sz w:val="24"/>
                <w:highlight w:val="yellow"/>
              </w:rPr>
            </w:pPr>
          </w:p>
        </w:tc>
      </w:tr>
      <w:tr w14:paraId="6B11CF4C">
        <w:tblPrEx>
          <w:tblCellMar>
            <w:top w:w="0" w:type="dxa"/>
            <w:left w:w="108" w:type="dxa"/>
            <w:bottom w:w="0" w:type="dxa"/>
            <w:right w:w="108" w:type="dxa"/>
          </w:tblCellMar>
        </w:tblPrEx>
        <w:trPr>
          <w:trHeight w:val="2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C7E7">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9</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F91F">
            <w:pPr>
              <w:widowControl/>
              <w:jc w:val="center"/>
              <w:textAlignment w:val="center"/>
              <w:rPr>
                <w:rFonts w:ascii="仿宋" w:hAnsi="仿宋" w:eastAsia="仿宋" w:cs="仿宋"/>
                <w:color w:val="000000"/>
                <w:sz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378B">
            <w:pPr>
              <w:widowControl/>
              <w:jc w:val="center"/>
              <w:textAlignment w:val="center"/>
              <w:rPr>
                <w:rFonts w:ascii="仿宋" w:hAnsi="仿宋" w:eastAsia="仿宋" w:cs="仿宋"/>
                <w:color w:val="000000"/>
                <w:kern w:val="0"/>
                <w:sz w:val="24"/>
                <w:lang w:bidi="ar"/>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C5AF">
            <w:pPr>
              <w:widowControl/>
              <w:jc w:val="center"/>
              <w:textAlignment w:val="center"/>
              <w:rPr>
                <w:rFonts w:ascii="仿宋" w:hAnsi="仿宋" w:eastAsia="仿宋" w:cs="仿宋"/>
                <w:color w:val="000000"/>
                <w:sz w:val="24"/>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245D">
            <w:pPr>
              <w:widowControl/>
              <w:jc w:val="center"/>
              <w:textAlignment w:val="center"/>
              <w:rPr>
                <w:rFonts w:ascii="仿宋" w:hAnsi="仿宋" w:eastAsia="仿宋" w:cs="仿宋"/>
                <w:color w:val="000000"/>
                <w:sz w:val="24"/>
                <w:highlight w:val="yellow"/>
              </w:rPr>
            </w:pPr>
          </w:p>
        </w:tc>
      </w:tr>
      <w:tr w14:paraId="4CF899E7">
        <w:tblPrEx>
          <w:tblCellMar>
            <w:top w:w="0" w:type="dxa"/>
            <w:left w:w="108" w:type="dxa"/>
            <w:bottom w:w="0" w:type="dxa"/>
            <w:right w:w="108" w:type="dxa"/>
          </w:tblCellMar>
        </w:tblPrEx>
        <w:trPr>
          <w:trHeight w:val="23"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009C">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10</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A6A8">
            <w:pPr>
              <w:widowControl/>
              <w:jc w:val="center"/>
              <w:textAlignment w:val="center"/>
              <w:rPr>
                <w:rFonts w:ascii="仿宋" w:hAnsi="仿宋" w:eastAsia="仿宋" w:cs="仿宋"/>
                <w:color w:val="000000"/>
                <w:sz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0EBD">
            <w:pPr>
              <w:widowControl/>
              <w:jc w:val="center"/>
              <w:textAlignment w:val="center"/>
              <w:rPr>
                <w:rFonts w:ascii="仿宋" w:hAnsi="仿宋" w:eastAsia="仿宋" w:cs="仿宋"/>
                <w:color w:val="000000"/>
                <w:kern w:val="0"/>
                <w:sz w:val="24"/>
                <w:lang w:bidi="ar"/>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CF25">
            <w:pPr>
              <w:widowControl/>
              <w:jc w:val="center"/>
              <w:textAlignment w:val="center"/>
              <w:rPr>
                <w:rFonts w:ascii="仿宋" w:hAnsi="仿宋" w:eastAsia="仿宋" w:cs="仿宋"/>
                <w:color w:val="000000"/>
                <w:kern w:val="0"/>
                <w:sz w:val="24"/>
                <w:lang w:bidi="ar"/>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0266">
            <w:pPr>
              <w:widowControl/>
              <w:jc w:val="center"/>
              <w:rPr>
                <w:rFonts w:ascii="仿宋" w:hAnsi="仿宋" w:eastAsia="仿宋" w:cs="仿宋"/>
                <w:color w:val="000000"/>
                <w:sz w:val="24"/>
                <w:highlight w:val="yellow"/>
              </w:rPr>
            </w:pPr>
          </w:p>
        </w:tc>
      </w:tr>
    </w:tbl>
    <w:p w14:paraId="1C547DA1">
      <w:pPr>
        <w:spacing w:line="360" w:lineRule="auto"/>
        <w:rPr>
          <w:rFonts w:ascii="仿宋" w:hAnsi="仿宋" w:eastAsia="仿宋" w:cs="仿宋"/>
          <w:color w:val="000000"/>
          <w:sz w:val="24"/>
        </w:rPr>
      </w:pPr>
    </w:p>
    <w:p w14:paraId="5EC3956F">
      <w:pPr>
        <w:spacing w:line="360" w:lineRule="auto"/>
        <w:rPr>
          <w:rFonts w:ascii="仿宋" w:hAnsi="仿宋" w:eastAsia="仿宋" w:cs="仿宋"/>
          <w:color w:val="000000"/>
          <w:sz w:val="24"/>
        </w:rPr>
      </w:pPr>
    </w:p>
    <w:p w14:paraId="6CC2AA56">
      <w:pPr>
        <w:spacing w:line="360" w:lineRule="auto"/>
        <w:rPr>
          <w:rFonts w:ascii="仿宋" w:hAnsi="仿宋" w:eastAsia="仿宋" w:cs="仿宋"/>
          <w:color w:val="000000"/>
          <w:sz w:val="24"/>
        </w:rPr>
      </w:pPr>
    </w:p>
    <w:p w14:paraId="375FB737">
      <w:pPr>
        <w:spacing w:line="360" w:lineRule="auto"/>
        <w:rPr>
          <w:rFonts w:ascii="仿宋" w:hAnsi="仿宋" w:eastAsia="仿宋" w:cs="仿宋"/>
          <w:color w:val="000000"/>
          <w:sz w:val="24"/>
        </w:rPr>
      </w:pPr>
    </w:p>
    <w:p w14:paraId="17E95F88">
      <w:pPr>
        <w:spacing w:line="360" w:lineRule="auto"/>
        <w:rPr>
          <w:rFonts w:ascii="仿宋" w:hAnsi="仿宋" w:eastAsia="仿宋" w:cs="仿宋"/>
          <w:color w:val="000000"/>
          <w:sz w:val="24"/>
        </w:rPr>
      </w:pPr>
    </w:p>
    <w:p w14:paraId="5A7F900F">
      <w:pPr>
        <w:spacing w:line="360" w:lineRule="auto"/>
        <w:rPr>
          <w:rFonts w:ascii="仿宋" w:hAnsi="仿宋" w:eastAsia="仿宋" w:cs="仿宋"/>
          <w:color w:val="000000"/>
          <w:sz w:val="24"/>
        </w:rPr>
      </w:pPr>
    </w:p>
    <w:p w14:paraId="53F405AB">
      <w:pPr>
        <w:spacing w:line="360" w:lineRule="auto"/>
        <w:rPr>
          <w:rFonts w:ascii="仿宋" w:hAnsi="仿宋" w:eastAsia="仿宋" w:cs="仿宋"/>
          <w:color w:val="000000"/>
          <w:sz w:val="24"/>
        </w:rPr>
      </w:pPr>
    </w:p>
    <w:p w14:paraId="7890E0C5">
      <w:pPr>
        <w:spacing w:line="360" w:lineRule="auto"/>
        <w:rPr>
          <w:rFonts w:ascii="仿宋" w:hAnsi="仿宋" w:eastAsia="仿宋" w:cs="仿宋"/>
          <w:color w:val="000000"/>
          <w:sz w:val="24"/>
        </w:rPr>
      </w:pPr>
    </w:p>
    <w:p w14:paraId="33EB5FCA">
      <w:pPr>
        <w:spacing w:line="360" w:lineRule="auto"/>
        <w:rPr>
          <w:rFonts w:ascii="仿宋" w:hAnsi="仿宋" w:eastAsia="仿宋" w:cs="仿宋"/>
          <w:color w:val="000000"/>
          <w:sz w:val="24"/>
        </w:rPr>
      </w:pPr>
    </w:p>
    <w:p w14:paraId="0BCB0C14">
      <w:pPr>
        <w:spacing w:line="360" w:lineRule="auto"/>
        <w:rPr>
          <w:rFonts w:ascii="仿宋" w:hAnsi="仿宋" w:eastAsia="仿宋" w:cs="仿宋"/>
          <w:color w:val="000000"/>
          <w:sz w:val="24"/>
        </w:rPr>
      </w:pPr>
    </w:p>
    <w:p w14:paraId="24755C81">
      <w:pPr>
        <w:spacing w:line="360" w:lineRule="auto"/>
        <w:rPr>
          <w:rFonts w:ascii="仿宋" w:hAnsi="仿宋" w:eastAsia="仿宋" w:cs="仿宋"/>
          <w:color w:val="000000"/>
          <w:sz w:val="24"/>
        </w:rPr>
      </w:pPr>
    </w:p>
    <w:p w14:paraId="3D7A5817">
      <w:pPr>
        <w:spacing w:line="360" w:lineRule="auto"/>
        <w:rPr>
          <w:rFonts w:ascii="仿宋" w:hAnsi="仿宋" w:eastAsia="仿宋" w:cs="仿宋"/>
          <w:color w:val="000000"/>
          <w:sz w:val="24"/>
        </w:rPr>
      </w:pPr>
    </w:p>
    <w:p w14:paraId="163D2E32">
      <w:pPr>
        <w:spacing w:line="360" w:lineRule="auto"/>
        <w:rPr>
          <w:rFonts w:ascii="仿宋" w:hAnsi="仿宋" w:eastAsia="仿宋" w:cs="仿宋"/>
          <w:color w:val="000000"/>
          <w:sz w:val="24"/>
        </w:rPr>
      </w:pPr>
    </w:p>
    <w:p w14:paraId="3E699225">
      <w:pPr>
        <w:spacing w:line="360" w:lineRule="auto"/>
        <w:rPr>
          <w:rFonts w:ascii="仿宋" w:hAnsi="仿宋" w:eastAsia="仿宋" w:cs="仿宋"/>
          <w:color w:val="000000"/>
          <w:sz w:val="24"/>
        </w:rPr>
      </w:pPr>
    </w:p>
    <w:p w14:paraId="5362B3EB">
      <w:pPr>
        <w:spacing w:line="360" w:lineRule="auto"/>
        <w:rPr>
          <w:rFonts w:ascii="仿宋" w:hAnsi="仿宋" w:eastAsia="仿宋" w:cs="仿宋"/>
          <w:color w:val="000000"/>
          <w:sz w:val="24"/>
        </w:rPr>
      </w:pPr>
    </w:p>
    <w:p w14:paraId="00963CEC">
      <w:pPr>
        <w:spacing w:line="360" w:lineRule="auto"/>
        <w:rPr>
          <w:rFonts w:ascii="仿宋" w:hAnsi="仿宋" w:eastAsia="仿宋" w:cs="仿宋"/>
          <w:color w:val="000000"/>
          <w:sz w:val="24"/>
        </w:rPr>
      </w:pPr>
    </w:p>
    <w:p w14:paraId="003B6DB3">
      <w:pPr>
        <w:spacing w:line="360" w:lineRule="auto"/>
        <w:rPr>
          <w:rFonts w:ascii="仿宋" w:hAnsi="仿宋" w:eastAsia="仿宋" w:cs="仿宋"/>
          <w:color w:val="000000"/>
          <w:sz w:val="24"/>
        </w:rPr>
      </w:pPr>
    </w:p>
    <w:p w14:paraId="73F94EE1">
      <w:pPr>
        <w:spacing w:line="360" w:lineRule="auto"/>
        <w:rPr>
          <w:rFonts w:ascii="仿宋" w:hAnsi="仿宋" w:eastAsia="仿宋" w:cs="仿宋"/>
          <w:color w:val="000000"/>
          <w:sz w:val="24"/>
        </w:rPr>
      </w:pPr>
    </w:p>
    <w:p w14:paraId="0D078D0B">
      <w:pPr>
        <w:spacing w:line="360" w:lineRule="auto"/>
        <w:rPr>
          <w:rFonts w:ascii="仿宋" w:hAnsi="仿宋" w:eastAsia="仿宋" w:cs="仿宋"/>
          <w:color w:val="000000"/>
          <w:sz w:val="24"/>
        </w:rPr>
      </w:pPr>
    </w:p>
    <w:p w14:paraId="17B69E8E">
      <w:pPr>
        <w:spacing w:line="360" w:lineRule="auto"/>
        <w:rPr>
          <w:rFonts w:ascii="仿宋" w:hAnsi="仿宋" w:eastAsia="仿宋" w:cs="仿宋"/>
          <w:color w:val="000000"/>
          <w:sz w:val="24"/>
        </w:rPr>
      </w:pPr>
    </w:p>
    <w:p w14:paraId="77FD8FD1">
      <w:pPr>
        <w:pStyle w:val="25"/>
        <w:spacing w:line="288" w:lineRule="auto"/>
        <w:jc w:val="both"/>
        <w:rPr>
          <w:rFonts w:hint="default" w:ascii="仿宋" w:hAnsi="仿宋" w:eastAsia="仿宋" w:cs="仿宋"/>
          <w:sz w:val="24"/>
          <w:szCs w:val="24"/>
        </w:rPr>
      </w:pPr>
      <w:r>
        <w:rPr>
          <w:rFonts w:ascii="仿宋" w:hAnsi="仿宋" w:eastAsia="仿宋" w:cs="仿宋"/>
          <w:color w:val="000000"/>
          <w:sz w:val="24"/>
          <w:szCs w:val="24"/>
        </w:rPr>
        <w:t>附件</w:t>
      </w:r>
      <w:r>
        <w:rPr>
          <w:rFonts w:ascii="仿宋" w:hAnsi="仿宋" w:eastAsia="仿宋" w:cs="仿宋"/>
          <w:color w:val="000000"/>
          <w:sz w:val="24"/>
          <w:szCs w:val="24"/>
          <w:lang w:eastAsia="zh-CN"/>
        </w:rPr>
        <w:t>二</w:t>
      </w:r>
      <w:r>
        <w:rPr>
          <w:rFonts w:ascii="仿宋" w:hAnsi="仿宋" w:eastAsia="仿宋" w:cs="仿宋"/>
          <w:color w:val="000000"/>
          <w:sz w:val="24"/>
          <w:szCs w:val="24"/>
        </w:rPr>
        <w:t>：</w:t>
      </w:r>
    </w:p>
    <w:p w14:paraId="50116D2C">
      <w:pPr>
        <w:pStyle w:val="25"/>
        <w:spacing w:line="288" w:lineRule="auto"/>
        <w:jc w:val="center"/>
        <w:rPr>
          <w:rFonts w:hint="default" w:ascii="仿宋" w:hAnsi="仿宋" w:eastAsia="仿宋" w:cs="仿宋"/>
          <w:sz w:val="36"/>
          <w:szCs w:val="36"/>
        </w:rPr>
      </w:pPr>
      <w:r>
        <w:rPr>
          <w:rFonts w:ascii="仿宋" w:hAnsi="仿宋" w:eastAsia="仿宋" w:cs="仿宋"/>
          <w:b/>
          <w:color w:val="000000"/>
          <w:sz w:val="36"/>
          <w:szCs w:val="36"/>
        </w:rPr>
        <w:t>医疗卫生机构医药产品廉洁购销合同</w:t>
      </w:r>
    </w:p>
    <w:p w14:paraId="5E477193">
      <w:pPr>
        <w:pStyle w:val="25"/>
        <w:spacing w:line="288" w:lineRule="auto"/>
        <w:jc w:val="both"/>
        <w:rPr>
          <w:rFonts w:hint="default" w:ascii="仿宋" w:hAnsi="仿宋" w:eastAsia="仿宋" w:cs="仿宋"/>
          <w:color w:val="000000"/>
          <w:sz w:val="24"/>
          <w:szCs w:val="24"/>
        </w:rPr>
      </w:pPr>
    </w:p>
    <w:p w14:paraId="0E16613B">
      <w:pPr>
        <w:pStyle w:val="25"/>
        <w:spacing w:line="336" w:lineRule="auto"/>
        <w:jc w:val="both"/>
        <w:rPr>
          <w:rFonts w:hint="default" w:ascii="仿宋" w:hAnsi="仿宋" w:eastAsia="仿宋" w:cs="仿宋"/>
          <w:sz w:val="24"/>
          <w:szCs w:val="24"/>
        </w:rPr>
      </w:pPr>
      <w:r>
        <w:rPr>
          <w:rFonts w:ascii="仿宋" w:hAnsi="仿宋" w:eastAsia="仿宋" w:cs="仿宋"/>
          <w:color w:val="000000"/>
          <w:sz w:val="24"/>
          <w:szCs w:val="24"/>
        </w:rPr>
        <w:t>甲方：惠州市第一人民医院</w:t>
      </w:r>
    </w:p>
    <w:p w14:paraId="6E1FABA6">
      <w:pPr>
        <w:pStyle w:val="25"/>
        <w:spacing w:line="360" w:lineRule="auto"/>
        <w:jc w:val="both"/>
        <w:rPr>
          <w:rFonts w:hint="default" w:ascii="仿宋" w:hAnsi="仿宋" w:eastAsia="仿宋" w:cs="仿宋"/>
          <w:sz w:val="24"/>
          <w:szCs w:val="24"/>
          <w:u w:val="single"/>
          <w:lang w:eastAsia="zh-CN"/>
        </w:rPr>
      </w:pPr>
      <w:r>
        <w:rPr>
          <w:rFonts w:ascii="仿宋" w:hAnsi="仿宋" w:eastAsia="仿宋" w:cs="仿宋"/>
          <w:color w:val="000000"/>
          <w:sz w:val="24"/>
          <w:szCs w:val="24"/>
        </w:rPr>
        <w:t>乙方：</w:t>
      </w:r>
      <w:r>
        <w:rPr>
          <w:rFonts w:ascii="仿宋" w:hAnsi="仿宋" w:eastAsia="仿宋" w:cs="仿宋"/>
          <w:color w:val="000000"/>
          <w:sz w:val="24"/>
          <w:highlight w:val="none"/>
          <w:u w:val="single"/>
          <w:lang w:eastAsia="zh-CN"/>
        </w:rPr>
        <w:t xml:space="preserve">                   </w:t>
      </w:r>
    </w:p>
    <w:p w14:paraId="543CB495">
      <w:pPr>
        <w:pStyle w:val="25"/>
        <w:spacing w:line="336" w:lineRule="auto"/>
        <w:ind w:firstLine="480" w:firstLineChars="200"/>
        <w:jc w:val="both"/>
        <w:rPr>
          <w:rFonts w:hint="default" w:ascii="仿宋" w:hAnsi="仿宋" w:eastAsia="仿宋" w:cs="仿宋"/>
          <w:sz w:val="24"/>
          <w:szCs w:val="24"/>
        </w:rPr>
      </w:pPr>
      <w:r>
        <w:rPr>
          <w:rFonts w:ascii="仿宋" w:hAnsi="仿宋" w:eastAsia="仿宋" w:cs="仿宋"/>
          <w:color w:val="000000"/>
          <w:sz w:val="24"/>
          <w:szCs w:val="24"/>
        </w:rPr>
        <w:t>为进一步加强医疗卫生行风建设，规范医疗卫生机构医药购销行为，有效防范商业贿赂行为，营造公平交易、诚实守信的购销环境，经甲、乙双方协商，同意签订本合同，并共同遵守：</w:t>
      </w:r>
    </w:p>
    <w:p w14:paraId="199ABF71">
      <w:pPr>
        <w:pStyle w:val="25"/>
        <w:numPr>
          <w:ilvl w:val="0"/>
          <w:numId w:val="12"/>
        </w:numPr>
        <w:spacing w:line="336" w:lineRule="auto"/>
        <w:jc w:val="both"/>
        <w:rPr>
          <w:rFonts w:hint="default" w:ascii="仿宋" w:hAnsi="仿宋" w:eastAsia="仿宋" w:cs="仿宋"/>
          <w:sz w:val="24"/>
          <w:szCs w:val="24"/>
        </w:rPr>
      </w:pPr>
      <w:r>
        <w:rPr>
          <w:rFonts w:ascii="仿宋" w:hAnsi="仿宋" w:eastAsia="仿宋" w:cs="仿宋"/>
          <w:color w:val="000000"/>
          <w:sz w:val="24"/>
          <w:szCs w:val="24"/>
        </w:rPr>
        <w:t>甲乙双方按照《中华人民共和国民法典》及买卖合同约定购销药品、医用设备、医用耗材等医药产品。</w:t>
      </w:r>
    </w:p>
    <w:p w14:paraId="5CE66628">
      <w:pPr>
        <w:pStyle w:val="25"/>
        <w:numPr>
          <w:ilvl w:val="0"/>
          <w:numId w:val="12"/>
        </w:numPr>
        <w:spacing w:line="336" w:lineRule="auto"/>
        <w:jc w:val="both"/>
        <w:rPr>
          <w:rFonts w:hint="default" w:ascii="仿宋" w:hAnsi="仿宋" w:eastAsia="仿宋" w:cs="仿宋"/>
          <w:sz w:val="24"/>
          <w:szCs w:val="24"/>
        </w:rPr>
      </w:pPr>
      <w:r>
        <w:rPr>
          <w:rFonts w:ascii="仿宋" w:hAnsi="仿宋" w:eastAsia="仿宋" w:cs="仿宋"/>
          <w:color w:val="000000"/>
          <w:sz w:val="24"/>
          <w:szCs w:val="24"/>
        </w:rPr>
        <w:t>甲方应当严格执行买卖合同验收、入库制度，对采购医药产品及发票进行查验，不得违反有关规</w:t>
      </w:r>
      <w:r>
        <w:rPr>
          <w:rFonts w:ascii="仿宋" w:hAnsi="仿宋" w:eastAsia="仿宋" w:cs="仿宋"/>
          <w:color w:val="000000"/>
          <w:sz w:val="24"/>
          <w:szCs w:val="24"/>
          <w:lang w:eastAsia="zh-CN"/>
        </w:rPr>
        <w:t>定在</w:t>
      </w:r>
      <w:r>
        <w:rPr>
          <w:rFonts w:ascii="仿宋" w:hAnsi="仿宋" w:eastAsia="仿宋" w:cs="仿宋"/>
          <w:color w:val="000000"/>
          <w:sz w:val="24"/>
          <w:szCs w:val="24"/>
        </w:rPr>
        <w:t>合同外采购、违价采购或从非规定渠道采购。</w:t>
      </w:r>
    </w:p>
    <w:p w14:paraId="1D9E3E3B">
      <w:pPr>
        <w:pStyle w:val="25"/>
        <w:numPr>
          <w:ilvl w:val="0"/>
          <w:numId w:val="12"/>
        </w:numPr>
        <w:spacing w:line="336" w:lineRule="auto"/>
        <w:jc w:val="both"/>
        <w:rPr>
          <w:rFonts w:hint="default" w:ascii="仿宋" w:hAnsi="仿宋" w:eastAsia="仿宋" w:cs="仿宋"/>
          <w:sz w:val="24"/>
          <w:szCs w:val="24"/>
        </w:rPr>
      </w:pPr>
      <w:r>
        <w:rPr>
          <w:rFonts w:ascii="仿宋" w:hAnsi="仿宋" w:eastAsia="仿宋" w:cs="仿宋"/>
          <w:color w:val="000000"/>
          <w:sz w:val="24"/>
          <w:szCs w:val="24"/>
        </w:rPr>
        <w:t>甲方严禁接受乙方以任何名义、形式给予的利益，不得将接受捐赠资助与采购挂钩。甲方工作人员不得参加乙方安排并支付费用的营业性娱乐场所的娱乐活动，不得以任何形式向乙方索要现金、</w:t>
      </w:r>
      <w:r>
        <w:rPr>
          <w:rFonts w:ascii="仿宋" w:hAnsi="仿宋" w:eastAsia="仿宋" w:cs="仿宋"/>
          <w:color w:val="000000"/>
          <w:sz w:val="24"/>
          <w:szCs w:val="24"/>
          <w:lang w:eastAsia="zh-CN"/>
        </w:rPr>
        <w:t>有价证券</w:t>
      </w:r>
      <w:r>
        <w:rPr>
          <w:rFonts w:ascii="仿宋" w:hAnsi="仿宋" w:eastAsia="仿宋" w:cs="仿宋"/>
          <w:color w:val="000000"/>
          <w:sz w:val="24"/>
          <w:szCs w:val="24"/>
        </w:rPr>
        <w:t>、支付凭证和贵重礼品等。被迫接受乙方给予的钱物，应予退还，无法退还的，有责任如实向有关纪检监察部门反映情况。</w:t>
      </w:r>
    </w:p>
    <w:p w14:paraId="51408211">
      <w:pPr>
        <w:pStyle w:val="25"/>
        <w:numPr>
          <w:ilvl w:val="0"/>
          <w:numId w:val="12"/>
        </w:numPr>
        <w:spacing w:line="336" w:lineRule="auto"/>
        <w:jc w:val="both"/>
        <w:rPr>
          <w:rFonts w:hint="default" w:ascii="仿宋" w:hAnsi="仿宋" w:eastAsia="仿宋" w:cs="仿宋"/>
          <w:sz w:val="24"/>
          <w:szCs w:val="24"/>
        </w:rPr>
      </w:pPr>
      <w:r>
        <w:rPr>
          <w:rFonts w:ascii="仿宋" w:hAnsi="仿宋" w:eastAsia="仿宋" w:cs="仿宋"/>
          <w:color w:val="000000"/>
          <w:sz w:val="24"/>
          <w:szCs w:val="24"/>
        </w:rPr>
        <w:t>严禁甲方工作人员利用任何途径和方式，为乙方统计医师个人及临床科室有关医药产品用量信息，或为乙方统计提供便利。</w:t>
      </w:r>
    </w:p>
    <w:p w14:paraId="114A0639">
      <w:pPr>
        <w:pStyle w:val="25"/>
        <w:numPr>
          <w:ilvl w:val="0"/>
          <w:numId w:val="12"/>
        </w:numPr>
        <w:spacing w:line="336" w:lineRule="auto"/>
        <w:jc w:val="both"/>
        <w:rPr>
          <w:rFonts w:hint="default" w:ascii="仿宋" w:hAnsi="仿宋" w:eastAsia="仿宋" w:cs="仿宋"/>
          <w:sz w:val="24"/>
          <w:szCs w:val="24"/>
        </w:rPr>
      </w:pPr>
      <w:r>
        <w:rPr>
          <w:rFonts w:ascii="仿宋" w:hAnsi="仿宋" w:eastAsia="仿宋" w:cs="仿宋"/>
          <w:color w:val="000000"/>
          <w:sz w:val="24"/>
          <w:szCs w:val="24"/>
        </w:rPr>
        <w:t>乙方不得以利益、宴请等方式影响甲方工作人员采购或使用医药产品的选择权，不得在学术活动中提供旅游、超标准支付食宿费用。</w:t>
      </w:r>
    </w:p>
    <w:p w14:paraId="058A4CC1">
      <w:pPr>
        <w:pStyle w:val="25"/>
        <w:numPr>
          <w:ilvl w:val="0"/>
          <w:numId w:val="12"/>
        </w:numPr>
        <w:spacing w:line="336" w:lineRule="auto"/>
        <w:jc w:val="both"/>
        <w:rPr>
          <w:rFonts w:hint="default" w:ascii="仿宋" w:hAnsi="仿宋" w:eastAsia="仿宋" w:cs="仿宋"/>
          <w:sz w:val="24"/>
          <w:szCs w:val="24"/>
        </w:rPr>
      </w:pPr>
      <w:r>
        <w:rPr>
          <w:rFonts w:ascii="仿宋" w:hAnsi="仿宋" w:eastAsia="仿宋" w:cs="仿宋"/>
          <w:color w:val="000000"/>
          <w:sz w:val="24"/>
          <w:szCs w:val="24"/>
        </w:rPr>
        <w:t>乙方指定</w:t>
      </w:r>
      <w:r>
        <w:rPr>
          <w:rFonts w:ascii="仿宋" w:hAnsi="仿宋" w:eastAsia="仿宋" w:cs="仿宋"/>
          <w:sz w:val="24"/>
          <w:szCs w:val="24"/>
          <w:highlight w:val="none"/>
          <w:u w:val="single"/>
          <w:lang w:eastAsia="zh-CN"/>
        </w:rPr>
        <w:t xml:space="preserve"> 姓名+身份证+电话 </w:t>
      </w:r>
      <w:r>
        <w:rPr>
          <w:rFonts w:ascii="仿宋" w:hAnsi="仿宋" w:eastAsia="仿宋" w:cs="仿宋"/>
          <w:color w:val="000000"/>
          <w:sz w:val="24"/>
          <w:szCs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5E11DB4">
      <w:pPr>
        <w:pStyle w:val="25"/>
        <w:numPr>
          <w:ilvl w:val="0"/>
          <w:numId w:val="12"/>
        </w:numPr>
        <w:spacing w:line="336" w:lineRule="auto"/>
        <w:jc w:val="both"/>
        <w:rPr>
          <w:rFonts w:hint="default" w:ascii="仿宋" w:hAnsi="仿宋" w:eastAsia="仿宋" w:cs="仿宋"/>
          <w:sz w:val="24"/>
          <w:szCs w:val="24"/>
        </w:rPr>
      </w:pPr>
      <w:r>
        <w:rPr>
          <w:rFonts w:ascii="仿宋" w:hAnsi="仿宋" w:eastAsia="仿宋" w:cs="仿宋"/>
          <w:color w:val="000000"/>
          <w:sz w:val="24"/>
          <w:szCs w:val="24"/>
        </w:rPr>
        <w:t>乙方如违反本合同，一经发现，甲方有权终止买卖合同，并向有关卫生</w:t>
      </w:r>
      <w:r>
        <w:rPr>
          <w:rFonts w:ascii="仿宋" w:hAnsi="仿宋" w:eastAsia="仿宋" w:cs="仿宋"/>
          <w:color w:val="000000"/>
          <w:sz w:val="24"/>
          <w:szCs w:val="24"/>
          <w:lang w:eastAsia="zh-CN"/>
        </w:rPr>
        <w:t>健康</w:t>
      </w:r>
      <w:r>
        <w:rPr>
          <w:rFonts w:ascii="仿宋" w:hAnsi="仿宋" w:eastAsia="仿宋" w:cs="仿宋"/>
          <w:color w:val="000000"/>
          <w:sz w:val="24"/>
          <w:szCs w:val="24"/>
        </w:rPr>
        <w:t>行政部门报告。如乙方被列入商业贿赂不良记录，则严格按照《国家卫生</w:t>
      </w:r>
      <w:r>
        <w:rPr>
          <w:rFonts w:ascii="仿宋" w:hAnsi="仿宋" w:eastAsia="仿宋" w:cs="仿宋"/>
          <w:color w:val="000000"/>
          <w:sz w:val="24"/>
          <w:szCs w:val="24"/>
          <w:lang w:eastAsia="zh-CN"/>
        </w:rPr>
        <w:t>健康</w:t>
      </w:r>
      <w:r>
        <w:rPr>
          <w:rFonts w:ascii="仿宋" w:hAnsi="仿宋" w:eastAsia="仿宋" w:cs="仿宋"/>
          <w:color w:val="000000"/>
          <w:sz w:val="24"/>
          <w:szCs w:val="24"/>
        </w:rPr>
        <w:t>委关于建立医药购销领域商业贿赂不良记录的规定》（国卫法制发</w:t>
      </w:r>
      <w:r>
        <w:rPr>
          <w:rFonts w:ascii="仿宋" w:hAnsi="仿宋" w:eastAsia="仿宋" w:cs="仿宋"/>
          <w:color w:val="000000"/>
          <w:sz w:val="24"/>
          <w:szCs w:val="24"/>
          <w:lang w:eastAsia="zh-CN"/>
        </w:rPr>
        <w:t>〔2013〕50号</w:t>
      </w:r>
      <w:r>
        <w:rPr>
          <w:rFonts w:ascii="仿宋" w:hAnsi="仿宋" w:eastAsia="仿宋" w:cs="仿宋"/>
          <w:color w:val="000000"/>
          <w:sz w:val="24"/>
          <w:szCs w:val="24"/>
        </w:rPr>
        <w:t>）</w:t>
      </w:r>
      <w:r>
        <w:rPr>
          <w:rFonts w:ascii="仿宋" w:hAnsi="仿宋" w:eastAsia="仿宋" w:cs="仿宋"/>
          <w:color w:val="000000"/>
          <w:sz w:val="24"/>
          <w:szCs w:val="24"/>
          <w:lang w:eastAsia="zh-CN"/>
        </w:rPr>
        <w:t>等</w:t>
      </w:r>
      <w:r>
        <w:rPr>
          <w:rFonts w:ascii="仿宋" w:hAnsi="仿宋" w:eastAsia="仿宋" w:cs="仿宋"/>
          <w:color w:val="000000"/>
          <w:sz w:val="24"/>
          <w:szCs w:val="24"/>
        </w:rPr>
        <w:t>相关规定处理。</w:t>
      </w:r>
    </w:p>
    <w:p w14:paraId="0AED83C9">
      <w:pPr>
        <w:pStyle w:val="25"/>
        <w:numPr>
          <w:ilvl w:val="0"/>
          <w:numId w:val="12"/>
        </w:numPr>
        <w:spacing w:line="336" w:lineRule="auto"/>
        <w:jc w:val="both"/>
        <w:rPr>
          <w:rFonts w:hint="default" w:ascii="仿宋" w:hAnsi="仿宋" w:eastAsia="仿宋" w:cs="仿宋"/>
          <w:sz w:val="24"/>
          <w:szCs w:val="24"/>
        </w:rPr>
      </w:pPr>
      <w:r>
        <w:rPr>
          <w:rFonts w:ascii="仿宋" w:hAnsi="仿宋" w:eastAsia="仿宋" w:cs="仿宋"/>
          <w:color w:val="000000"/>
          <w:sz w:val="24"/>
          <w:szCs w:val="24"/>
        </w:rPr>
        <w:t>本合同作为买卖合同的重要组成部分，与买卖合同一并执行，具有同等的法律效力。</w:t>
      </w:r>
    </w:p>
    <w:p w14:paraId="5BBFBFBA">
      <w:pPr>
        <w:pStyle w:val="25"/>
        <w:numPr>
          <w:ilvl w:val="0"/>
          <w:numId w:val="12"/>
        </w:numPr>
        <w:spacing w:line="336" w:lineRule="auto"/>
        <w:jc w:val="both"/>
        <w:rPr>
          <w:rFonts w:hint="default" w:ascii="仿宋" w:hAnsi="仿宋" w:eastAsia="仿宋" w:cs="仿宋"/>
          <w:sz w:val="24"/>
          <w:szCs w:val="24"/>
        </w:rPr>
      </w:pPr>
      <w:r>
        <w:rPr>
          <w:rFonts w:ascii="仿宋" w:hAnsi="仿宋" w:eastAsia="仿宋" w:cs="仿宋"/>
          <w:color w:val="000000"/>
          <w:sz w:val="24"/>
          <w:szCs w:val="24"/>
        </w:rPr>
        <w:t>本合同一式四份，甲、乙双方各执两份，若上级相关部门需要则由甲方提供</w:t>
      </w:r>
      <w:bookmarkEnd w:id="10"/>
      <w:r>
        <w:rPr>
          <w:rFonts w:ascii="仿宋" w:hAnsi="仿宋" w:eastAsia="仿宋" w:cs="仿宋"/>
          <w:color w:val="000000"/>
          <w:sz w:val="24"/>
          <w:szCs w:val="24"/>
          <w:lang w:eastAsia="zh-CN"/>
        </w:rPr>
        <w:t>。</w:t>
      </w:r>
      <w:r>
        <w:rPr>
          <w:rFonts w:ascii="仿宋" w:hAnsi="仿宋" w:eastAsia="仿宋" w:cs="仿宋"/>
          <w:color w:val="000000"/>
          <w:sz w:val="24"/>
          <w:szCs w:val="24"/>
        </w:rPr>
        <w:t>本合同自双方签名或盖章后生效</w:t>
      </w:r>
      <w:r>
        <w:rPr>
          <w:rFonts w:ascii="仿宋" w:hAnsi="仿宋" w:eastAsia="仿宋" w:cs="仿宋"/>
          <w:color w:val="000000"/>
          <w:sz w:val="24"/>
          <w:szCs w:val="24"/>
          <w:lang w:eastAsia="zh-CN"/>
        </w:rPr>
        <w:t>（</w:t>
      </w:r>
      <w:r>
        <w:rPr>
          <w:rFonts w:ascii="仿宋" w:hAnsi="仿宋" w:eastAsia="仿宋" w:cs="仿宋"/>
          <w:color w:val="000000"/>
          <w:sz w:val="24"/>
          <w:szCs w:val="24"/>
        </w:rPr>
        <w:t>本合同作为买卖合同附件时，以买卖合同签名或盖章之日起生效</w:t>
      </w:r>
      <w:r>
        <w:rPr>
          <w:rFonts w:ascii="仿宋" w:hAnsi="仿宋" w:eastAsia="仿宋" w:cs="仿宋"/>
          <w:color w:val="000000"/>
          <w:sz w:val="24"/>
          <w:szCs w:val="24"/>
          <w:lang w:eastAsia="zh-CN"/>
        </w:rPr>
        <w:t>）</w:t>
      </w:r>
    </w:p>
    <w:p w14:paraId="1B10507C">
      <w:pPr>
        <w:snapToGrid w:val="0"/>
        <w:spacing w:line="360" w:lineRule="auto"/>
      </w:pPr>
    </w:p>
    <w:p w14:paraId="49F23EAA">
      <w:pPr>
        <w:rPr>
          <w:b/>
          <w:sz w:val="36"/>
        </w:rPr>
      </w:pPr>
    </w:p>
    <w:p w14:paraId="781DF93C">
      <w:pPr>
        <w:rPr>
          <w:b/>
          <w:sz w:val="36"/>
        </w:rPr>
      </w:pPr>
      <w:bookmarkStart w:id="11" w:name="_Toc13023"/>
      <w:r>
        <w:rPr>
          <w:b/>
          <w:sz w:val="36"/>
        </w:rPr>
        <w:br w:type="page"/>
      </w:r>
    </w:p>
    <w:p w14:paraId="6EB5371E">
      <w:pPr>
        <w:pStyle w:val="25"/>
        <w:jc w:val="center"/>
        <w:outlineLvl w:val="0"/>
        <w:rPr>
          <w:rFonts w:hint="default"/>
        </w:rPr>
      </w:pPr>
      <w:r>
        <w:rPr>
          <w:b/>
          <w:sz w:val="36"/>
        </w:rPr>
        <w:t>第六章 投标文件格式与要求</w:t>
      </w:r>
      <w:bookmarkEnd w:id="11"/>
    </w:p>
    <w:p w14:paraId="5C314649">
      <w:pPr>
        <w:pStyle w:val="25"/>
        <w:ind w:firstLine="480"/>
        <w:rPr>
          <w:rFonts w:hint="default"/>
          <w:lang w:eastAsia="zh-CN"/>
        </w:rPr>
      </w:pPr>
      <w:r>
        <w:t xml:space="preserve">  </w:t>
      </w:r>
    </w:p>
    <w:p w14:paraId="64FA28E6">
      <w:pPr>
        <w:pStyle w:val="25"/>
        <w:ind w:firstLine="480"/>
        <w:rPr>
          <w:rFonts w:hint="default"/>
          <w:lang w:eastAsia="zh-CN"/>
        </w:rPr>
      </w:pPr>
    </w:p>
    <w:p w14:paraId="405E24B9">
      <w:pPr>
        <w:pStyle w:val="25"/>
        <w:jc w:val="center"/>
        <w:outlineLvl w:val="0"/>
        <w:rPr>
          <w:rFonts w:hint="default"/>
        </w:rPr>
      </w:pPr>
    </w:p>
    <w:p w14:paraId="1776AC9C">
      <w:pPr>
        <w:spacing w:line="360" w:lineRule="auto"/>
        <w:rPr>
          <w:rFonts w:ascii="宋体" w:hAnsi="宋体" w:cs="宋体"/>
          <w:sz w:val="24"/>
        </w:rPr>
      </w:pPr>
    </w:p>
    <w:p w14:paraId="18CADBCA">
      <w:pPr>
        <w:pStyle w:val="9"/>
        <w:spacing w:line="360" w:lineRule="auto"/>
        <w:rPr>
          <w:rFonts w:hAnsi="宋体" w:cs="宋体"/>
          <w:b w:val="0"/>
          <w:sz w:val="24"/>
          <w:szCs w:val="24"/>
        </w:rPr>
      </w:pPr>
    </w:p>
    <w:p w14:paraId="375E0F26">
      <w:pPr>
        <w:pStyle w:val="9"/>
        <w:tabs>
          <w:tab w:val="left" w:pos="1260"/>
        </w:tabs>
        <w:spacing w:line="360" w:lineRule="auto"/>
        <w:jc w:val="center"/>
        <w:rPr>
          <w:rFonts w:hAnsi="宋体" w:cs="宋体"/>
          <w:b w:val="0"/>
          <w:spacing w:val="100"/>
          <w:w w:val="110"/>
          <w:kern w:val="0"/>
          <w:sz w:val="24"/>
          <w:szCs w:val="24"/>
        </w:rPr>
      </w:pPr>
    </w:p>
    <w:p w14:paraId="3518F8F1">
      <w:pPr>
        <w:pStyle w:val="9"/>
        <w:tabs>
          <w:tab w:val="left" w:pos="1260"/>
        </w:tabs>
        <w:spacing w:line="360" w:lineRule="auto"/>
        <w:ind w:firstLine="864" w:firstLineChars="200"/>
        <w:jc w:val="center"/>
        <w:rPr>
          <w:rFonts w:hAnsi="宋体" w:cs="宋体"/>
          <w:spacing w:val="100"/>
          <w:w w:val="110"/>
        </w:rPr>
      </w:pPr>
      <w:r>
        <w:rPr>
          <w:rFonts w:hint="eastAsia" w:hAnsi="宋体" w:cs="宋体"/>
          <w:spacing w:val="100"/>
          <w:w w:val="110"/>
          <w:kern w:val="0"/>
        </w:rPr>
        <w:t>投标/响应文件</w:t>
      </w:r>
    </w:p>
    <w:p w14:paraId="36A578E6">
      <w:pPr>
        <w:pStyle w:val="9"/>
        <w:spacing w:line="360" w:lineRule="auto"/>
        <w:ind w:firstLine="420" w:firstLineChars="200"/>
        <w:jc w:val="center"/>
        <w:rPr>
          <w:rFonts w:hAnsi="宋体" w:cs="宋体"/>
          <w:b w:val="0"/>
        </w:rPr>
      </w:pPr>
      <w:r>
        <w:rPr>
          <w:rFonts w:hint="eastAsia" w:hAnsi="宋体" w:cs="宋体"/>
          <w:b w:val="0"/>
        </w:rPr>
        <w:t>（正本/副本）</w:t>
      </w:r>
    </w:p>
    <w:p w14:paraId="1FA2D813">
      <w:pPr>
        <w:pStyle w:val="9"/>
        <w:spacing w:line="360" w:lineRule="auto"/>
        <w:jc w:val="center"/>
        <w:rPr>
          <w:rFonts w:hAnsi="宋体" w:cs="宋体"/>
          <w:b w:val="0"/>
        </w:rPr>
      </w:pPr>
    </w:p>
    <w:p w14:paraId="4EF7A6D3">
      <w:pPr>
        <w:pStyle w:val="9"/>
        <w:spacing w:line="360" w:lineRule="auto"/>
        <w:jc w:val="center"/>
        <w:rPr>
          <w:rFonts w:hAnsi="宋体" w:cs="宋体"/>
          <w:b w:val="0"/>
        </w:rPr>
      </w:pPr>
    </w:p>
    <w:p w14:paraId="6F165A2C">
      <w:pPr>
        <w:pStyle w:val="9"/>
        <w:spacing w:line="360" w:lineRule="auto"/>
        <w:jc w:val="center"/>
        <w:rPr>
          <w:rFonts w:hAnsi="宋体" w:cs="宋体"/>
          <w:b w:val="0"/>
        </w:rPr>
      </w:pPr>
    </w:p>
    <w:p w14:paraId="79D38371">
      <w:pPr>
        <w:pStyle w:val="9"/>
        <w:spacing w:line="360" w:lineRule="auto"/>
        <w:jc w:val="center"/>
        <w:rPr>
          <w:rFonts w:hAnsi="宋体" w:cs="宋体"/>
          <w:b w:val="0"/>
        </w:rPr>
      </w:pPr>
    </w:p>
    <w:p w14:paraId="2B936A07">
      <w:pPr>
        <w:pStyle w:val="9"/>
        <w:spacing w:line="360" w:lineRule="auto"/>
        <w:jc w:val="center"/>
        <w:rPr>
          <w:rFonts w:hAnsi="宋体" w:cs="宋体"/>
          <w:b w:val="0"/>
        </w:rPr>
      </w:pPr>
    </w:p>
    <w:p w14:paraId="304BD75B">
      <w:pPr>
        <w:pStyle w:val="9"/>
        <w:spacing w:line="360" w:lineRule="auto"/>
        <w:jc w:val="center"/>
        <w:rPr>
          <w:rFonts w:hAnsi="宋体" w:cs="宋体"/>
          <w:b w:val="0"/>
        </w:rPr>
      </w:pPr>
    </w:p>
    <w:p w14:paraId="132057C3">
      <w:pPr>
        <w:pStyle w:val="9"/>
        <w:spacing w:line="360" w:lineRule="auto"/>
        <w:ind w:firstLine="420" w:firstLineChars="200"/>
        <w:rPr>
          <w:rFonts w:hAnsi="宋体" w:cs="宋体"/>
          <w:b w:val="0"/>
          <w:u w:val="single"/>
        </w:rPr>
      </w:pPr>
      <w:r>
        <w:rPr>
          <w:rFonts w:hint="eastAsia" w:hAnsi="宋体" w:cs="宋体"/>
          <w:b w:val="0"/>
        </w:rPr>
        <w:t>采购项目编号：</w:t>
      </w:r>
      <w:r>
        <w:rPr>
          <w:rFonts w:hint="eastAsia" w:hAnsi="宋体" w:cs="宋体"/>
          <w:b w:val="0"/>
          <w:u w:val="thick"/>
        </w:rPr>
        <w:t xml:space="preserve">                             </w:t>
      </w:r>
    </w:p>
    <w:p w14:paraId="4A5BC5A7">
      <w:pPr>
        <w:pStyle w:val="7"/>
        <w:spacing w:line="360" w:lineRule="auto"/>
        <w:ind w:firstLine="420" w:firstLineChars="200"/>
        <w:rPr>
          <w:rFonts w:ascii="宋体" w:hAnsi="宋体" w:cs="宋体"/>
          <w:sz w:val="21"/>
          <w:szCs w:val="21"/>
          <w:u w:val="single"/>
        </w:rPr>
      </w:pPr>
      <w:r>
        <w:rPr>
          <w:rFonts w:hint="eastAsia" w:ascii="宋体" w:hAnsi="宋体" w:cs="宋体"/>
          <w:sz w:val="21"/>
          <w:szCs w:val="21"/>
        </w:rPr>
        <w:t>采购项目名称：</w:t>
      </w:r>
      <w:r>
        <w:rPr>
          <w:rFonts w:hint="eastAsia" w:ascii="宋体" w:hAnsi="宋体" w:cs="宋体"/>
          <w:sz w:val="21"/>
          <w:szCs w:val="21"/>
          <w:u w:val="thick"/>
        </w:rPr>
        <w:t xml:space="preserve">                              </w:t>
      </w:r>
    </w:p>
    <w:p w14:paraId="55D6F06D">
      <w:pPr>
        <w:pStyle w:val="9"/>
        <w:spacing w:line="360" w:lineRule="auto"/>
        <w:ind w:firstLine="630" w:firstLineChars="300"/>
        <w:rPr>
          <w:rFonts w:hAnsi="宋体" w:cs="宋体"/>
          <w:b w:val="0"/>
        </w:rPr>
      </w:pPr>
    </w:p>
    <w:p w14:paraId="65E64FE0">
      <w:pPr>
        <w:pStyle w:val="9"/>
        <w:spacing w:line="360" w:lineRule="auto"/>
        <w:ind w:firstLine="630" w:firstLineChars="300"/>
        <w:rPr>
          <w:rFonts w:hAnsi="宋体" w:cs="宋体"/>
          <w:b w:val="0"/>
        </w:rPr>
      </w:pPr>
    </w:p>
    <w:p w14:paraId="2A61BB10">
      <w:pPr>
        <w:pStyle w:val="9"/>
        <w:spacing w:line="360" w:lineRule="auto"/>
        <w:ind w:firstLine="630" w:firstLineChars="300"/>
        <w:rPr>
          <w:rFonts w:hAnsi="宋体" w:cs="宋体"/>
          <w:b w:val="0"/>
        </w:rPr>
      </w:pPr>
    </w:p>
    <w:p w14:paraId="250C04F0">
      <w:pPr>
        <w:pStyle w:val="9"/>
        <w:spacing w:line="360" w:lineRule="auto"/>
        <w:ind w:firstLine="630" w:firstLineChars="300"/>
        <w:rPr>
          <w:rFonts w:hAnsi="宋体" w:cs="宋体"/>
          <w:b w:val="0"/>
        </w:rPr>
      </w:pPr>
    </w:p>
    <w:p w14:paraId="478B7F36">
      <w:pPr>
        <w:pStyle w:val="9"/>
        <w:spacing w:line="360" w:lineRule="auto"/>
        <w:ind w:firstLine="630" w:firstLineChars="300"/>
        <w:rPr>
          <w:rFonts w:hAnsi="宋体" w:cs="宋体"/>
          <w:b w:val="0"/>
        </w:rPr>
      </w:pPr>
    </w:p>
    <w:p w14:paraId="4C627CFF">
      <w:pPr>
        <w:pStyle w:val="9"/>
        <w:spacing w:line="360" w:lineRule="auto"/>
        <w:ind w:firstLine="420" w:firstLineChars="200"/>
        <w:rPr>
          <w:rFonts w:hAnsi="宋体" w:cs="宋体"/>
          <w:b w:val="0"/>
          <w:u w:val="single"/>
        </w:rPr>
      </w:pPr>
      <w:r>
        <w:rPr>
          <w:rFonts w:hint="eastAsia" w:hAnsi="宋体" w:cs="宋体"/>
          <w:b w:val="0"/>
        </w:rPr>
        <w:t>投标人名称：</w:t>
      </w:r>
      <w:r>
        <w:rPr>
          <w:rFonts w:hint="eastAsia" w:hAnsi="宋体" w:cs="宋体"/>
          <w:b w:val="0"/>
          <w:u w:val="single"/>
        </w:rPr>
        <w:t xml:space="preserve">                </w:t>
      </w:r>
    </w:p>
    <w:p w14:paraId="06C5BE9F">
      <w:pPr>
        <w:autoSpaceDE w:val="0"/>
        <w:autoSpaceDN w:val="0"/>
        <w:spacing w:line="360" w:lineRule="auto"/>
        <w:ind w:firstLine="420" w:firstLineChars="200"/>
        <w:rPr>
          <w:rFonts w:ascii="宋体" w:hAnsi="宋体" w:cs="宋体"/>
          <w:szCs w:val="21"/>
          <w:u w:val="single"/>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5A7E4AA">
      <w:pPr>
        <w:autoSpaceDE w:val="0"/>
        <w:autoSpaceDN w:val="0"/>
        <w:adjustRightInd w:val="0"/>
        <w:spacing w:line="360" w:lineRule="auto"/>
        <w:jc w:val="center"/>
        <w:rPr>
          <w:rFonts w:ascii="宋体" w:hAnsi="宋体" w:cs="宋体"/>
          <w:szCs w:val="21"/>
        </w:rPr>
      </w:pPr>
    </w:p>
    <w:p w14:paraId="4ECDD65D">
      <w:pPr>
        <w:pageBreakBefore/>
        <w:spacing w:line="360" w:lineRule="auto"/>
        <w:ind w:firstLine="422" w:firstLineChars="200"/>
        <w:jc w:val="center"/>
        <w:outlineLvl w:val="1"/>
        <w:rPr>
          <w:rFonts w:ascii="宋体" w:hAnsi="宋体" w:cs="宋体"/>
          <w:b/>
          <w:szCs w:val="21"/>
        </w:rPr>
      </w:pPr>
      <w:r>
        <w:rPr>
          <w:rFonts w:hint="eastAsia" w:ascii="宋体" w:hAnsi="宋体" w:cs="宋体"/>
          <w:b/>
          <w:szCs w:val="21"/>
        </w:rPr>
        <w:t>一、自查表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5753"/>
        <w:gridCol w:w="1391"/>
        <w:gridCol w:w="1940"/>
      </w:tblGrid>
      <w:tr w14:paraId="6A00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9639" w:type="dxa"/>
            <w:gridSpan w:val="4"/>
            <w:vAlign w:val="center"/>
          </w:tcPr>
          <w:p w14:paraId="335959AD">
            <w:pPr>
              <w:spacing w:line="360" w:lineRule="auto"/>
              <w:jc w:val="left"/>
              <w:rPr>
                <w:rFonts w:ascii="宋体" w:hAnsi="宋体" w:cs="宋体"/>
                <w:b/>
                <w:bCs/>
                <w:szCs w:val="21"/>
              </w:rPr>
            </w:pPr>
            <w:r>
              <w:rPr>
                <w:rFonts w:hint="eastAsia" w:ascii="宋体" w:hAnsi="宋体" w:cs="宋体"/>
                <w:b/>
                <w:bCs/>
                <w:szCs w:val="21"/>
              </w:rPr>
              <w:t>1.1资格性自查表</w:t>
            </w:r>
          </w:p>
        </w:tc>
      </w:tr>
      <w:tr w14:paraId="550A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555" w:type="dxa"/>
            <w:shd w:val="clear" w:color="auto" w:fill="D9D9D9"/>
            <w:vAlign w:val="center"/>
          </w:tcPr>
          <w:p w14:paraId="2921D40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5753" w:type="dxa"/>
            <w:shd w:val="clear" w:color="auto" w:fill="D9D9D9"/>
            <w:vAlign w:val="center"/>
          </w:tcPr>
          <w:p w14:paraId="044081EB">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招标文件要求</w:t>
            </w:r>
          </w:p>
        </w:tc>
        <w:tc>
          <w:tcPr>
            <w:tcW w:w="1391" w:type="dxa"/>
            <w:shd w:val="clear" w:color="auto" w:fill="D9D9D9"/>
            <w:vAlign w:val="center"/>
          </w:tcPr>
          <w:p w14:paraId="62EA96C1">
            <w:pPr>
              <w:spacing w:line="360" w:lineRule="auto"/>
              <w:jc w:val="center"/>
              <w:rPr>
                <w:rFonts w:ascii="宋体" w:hAnsi="宋体" w:cs="宋体"/>
                <w:b/>
                <w:szCs w:val="21"/>
              </w:rPr>
            </w:pPr>
            <w:r>
              <w:rPr>
                <w:rFonts w:hint="eastAsia" w:ascii="宋体" w:hAnsi="宋体" w:cs="宋体"/>
                <w:b/>
                <w:szCs w:val="21"/>
              </w:rPr>
              <w:t>自查结论</w:t>
            </w:r>
          </w:p>
        </w:tc>
        <w:tc>
          <w:tcPr>
            <w:tcW w:w="1940" w:type="dxa"/>
            <w:shd w:val="clear" w:color="auto" w:fill="D9D9D9"/>
            <w:vAlign w:val="center"/>
          </w:tcPr>
          <w:p w14:paraId="1B3C5AFD">
            <w:pPr>
              <w:spacing w:line="360" w:lineRule="auto"/>
              <w:ind w:left="-171"/>
              <w:jc w:val="center"/>
              <w:rPr>
                <w:rFonts w:ascii="宋体" w:hAnsi="宋体" w:cs="宋体"/>
                <w:b/>
                <w:szCs w:val="21"/>
              </w:rPr>
            </w:pPr>
            <w:r>
              <w:rPr>
                <w:rFonts w:hint="eastAsia" w:ascii="宋体" w:hAnsi="宋体" w:cs="宋体"/>
                <w:b/>
                <w:szCs w:val="21"/>
              </w:rPr>
              <w:t>证明资料</w:t>
            </w:r>
          </w:p>
        </w:tc>
      </w:tr>
      <w:tr w14:paraId="176C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55" w:type="dxa"/>
            <w:vAlign w:val="center"/>
          </w:tcPr>
          <w:p w14:paraId="27369854">
            <w:pPr>
              <w:spacing w:line="360" w:lineRule="auto"/>
              <w:jc w:val="center"/>
              <w:rPr>
                <w:rFonts w:ascii="宋体" w:hAnsi="宋体" w:cs="宋体"/>
                <w:spacing w:val="40"/>
                <w:szCs w:val="21"/>
              </w:rPr>
            </w:pPr>
          </w:p>
        </w:tc>
        <w:tc>
          <w:tcPr>
            <w:tcW w:w="5753" w:type="dxa"/>
            <w:vAlign w:val="center"/>
          </w:tcPr>
          <w:p w14:paraId="13C29E5D">
            <w:pPr>
              <w:spacing w:line="360" w:lineRule="auto"/>
              <w:ind w:firstLine="420" w:firstLineChars="200"/>
              <w:rPr>
                <w:rFonts w:ascii="宋体" w:hAnsi="宋体" w:cs="宋体"/>
                <w:szCs w:val="21"/>
              </w:rPr>
            </w:pPr>
          </w:p>
        </w:tc>
        <w:tc>
          <w:tcPr>
            <w:tcW w:w="1391" w:type="dxa"/>
            <w:vAlign w:val="center"/>
          </w:tcPr>
          <w:p w14:paraId="716A4F82">
            <w:pPr>
              <w:spacing w:line="360" w:lineRule="auto"/>
              <w:ind w:firstLine="420" w:firstLineChars="200"/>
              <w:jc w:val="left"/>
              <w:rPr>
                <w:rFonts w:ascii="宋体" w:hAnsi="宋体" w:cs="宋体"/>
                <w:szCs w:val="21"/>
              </w:rPr>
            </w:pPr>
            <w:r>
              <w:rPr>
                <w:rFonts w:hint="eastAsia" w:ascii="宋体" w:hAnsi="宋体" w:cs="宋体"/>
                <w:szCs w:val="21"/>
              </w:rPr>
              <w:t>□通过</w:t>
            </w:r>
          </w:p>
          <w:p w14:paraId="68AE36C9">
            <w:pPr>
              <w:spacing w:line="360" w:lineRule="auto"/>
              <w:ind w:firstLine="420" w:firstLineChars="200"/>
              <w:jc w:val="left"/>
              <w:rPr>
                <w:rFonts w:ascii="宋体" w:hAnsi="宋体" w:cs="宋体"/>
                <w:szCs w:val="21"/>
              </w:rPr>
            </w:pPr>
            <w:r>
              <w:rPr>
                <w:rFonts w:hint="eastAsia" w:ascii="宋体" w:hAnsi="宋体" w:cs="宋体"/>
                <w:szCs w:val="21"/>
              </w:rPr>
              <w:t>□不通过</w:t>
            </w:r>
          </w:p>
        </w:tc>
        <w:tc>
          <w:tcPr>
            <w:tcW w:w="1940" w:type="dxa"/>
            <w:vAlign w:val="center"/>
          </w:tcPr>
          <w:p w14:paraId="26A88F36">
            <w:pPr>
              <w:spacing w:line="360" w:lineRule="auto"/>
              <w:ind w:left="-172" w:leftChars="-82" w:firstLine="420" w:firstLineChars="200"/>
              <w:jc w:val="center"/>
              <w:rPr>
                <w:rFonts w:ascii="宋体" w:hAnsi="宋体" w:cs="宋体"/>
                <w:szCs w:val="21"/>
              </w:rPr>
            </w:pPr>
            <w:r>
              <w:rPr>
                <w:rFonts w:hint="eastAsia" w:ascii="宋体" w:hAnsi="宋体" w:cs="宋体"/>
                <w:szCs w:val="21"/>
              </w:rPr>
              <w:t>见投标/响应文件</w:t>
            </w:r>
          </w:p>
          <w:p w14:paraId="31236352">
            <w:pPr>
              <w:spacing w:line="360" w:lineRule="auto"/>
              <w:ind w:left="-172" w:leftChars="-82" w:firstLine="420" w:firstLineChars="200"/>
              <w:jc w:val="center"/>
              <w:rPr>
                <w:rFonts w:ascii="宋体" w:hAnsi="宋体" w:cs="宋体"/>
                <w:szCs w:val="21"/>
              </w:rPr>
            </w:pPr>
            <w:r>
              <w:rPr>
                <w:rFonts w:hint="eastAsia" w:ascii="宋体" w:hAnsi="宋体" w:cs="宋体"/>
                <w:szCs w:val="21"/>
              </w:rPr>
              <w:t>第（）页</w:t>
            </w:r>
          </w:p>
        </w:tc>
      </w:tr>
      <w:tr w14:paraId="46CD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555" w:type="dxa"/>
            <w:vAlign w:val="center"/>
          </w:tcPr>
          <w:p w14:paraId="138AF66C">
            <w:pPr>
              <w:spacing w:line="360" w:lineRule="auto"/>
              <w:jc w:val="center"/>
              <w:rPr>
                <w:rFonts w:ascii="宋体" w:hAnsi="宋体" w:cs="宋体"/>
                <w:szCs w:val="21"/>
              </w:rPr>
            </w:pPr>
          </w:p>
        </w:tc>
        <w:tc>
          <w:tcPr>
            <w:tcW w:w="5753" w:type="dxa"/>
            <w:vAlign w:val="center"/>
          </w:tcPr>
          <w:p w14:paraId="18E01D7A">
            <w:pPr>
              <w:spacing w:line="360" w:lineRule="auto"/>
              <w:ind w:firstLine="420" w:firstLineChars="200"/>
              <w:rPr>
                <w:rFonts w:ascii="宋体" w:hAnsi="宋体" w:cs="宋体"/>
                <w:bCs/>
                <w:szCs w:val="21"/>
              </w:rPr>
            </w:pPr>
          </w:p>
        </w:tc>
        <w:tc>
          <w:tcPr>
            <w:tcW w:w="1391" w:type="dxa"/>
            <w:vAlign w:val="center"/>
          </w:tcPr>
          <w:p w14:paraId="25F7F9CF">
            <w:pPr>
              <w:spacing w:line="360" w:lineRule="auto"/>
              <w:ind w:firstLine="420" w:firstLineChars="200"/>
              <w:jc w:val="left"/>
              <w:rPr>
                <w:rFonts w:ascii="宋体" w:hAnsi="宋体" w:cs="宋体"/>
                <w:szCs w:val="21"/>
              </w:rPr>
            </w:pPr>
            <w:r>
              <w:rPr>
                <w:rFonts w:hint="eastAsia" w:ascii="宋体" w:hAnsi="宋体" w:cs="宋体"/>
                <w:szCs w:val="21"/>
              </w:rPr>
              <w:t>□通过</w:t>
            </w:r>
          </w:p>
          <w:p w14:paraId="17E65FC1">
            <w:pPr>
              <w:spacing w:line="360" w:lineRule="auto"/>
              <w:ind w:firstLine="420" w:firstLineChars="200"/>
              <w:jc w:val="left"/>
              <w:rPr>
                <w:rFonts w:ascii="宋体" w:hAnsi="宋体" w:cs="宋体"/>
                <w:szCs w:val="21"/>
              </w:rPr>
            </w:pPr>
            <w:r>
              <w:rPr>
                <w:rFonts w:hint="eastAsia" w:ascii="宋体" w:hAnsi="宋体" w:cs="宋体"/>
                <w:szCs w:val="21"/>
              </w:rPr>
              <w:t>□不通过</w:t>
            </w:r>
          </w:p>
        </w:tc>
        <w:tc>
          <w:tcPr>
            <w:tcW w:w="1940" w:type="dxa"/>
            <w:vAlign w:val="center"/>
          </w:tcPr>
          <w:p w14:paraId="6A847465">
            <w:pPr>
              <w:spacing w:line="360" w:lineRule="auto"/>
              <w:ind w:left="-172" w:leftChars="-82" w:firstLine="420" w:firstLineChars="200"/>
              <w:jc w:val="center"/>
              <w:rPr>
                <w:rFonts w:ascii="宋体" w:hAnsi="宋体" w:cs="宋体"/>
                <w:szCs w:val="21"/>
              </w:rPr>
            </w:pPr>
            <w:r>
              <w:rPr>
                <w:rFonts w:hint="eastAsia" w:ascii="宋体" w:hAnsi="宋体" w:cs="宋体"/>
                <w:szCs w:val="21"/>
              </w:rPr>
              <w:t>见投标/响应文件</w:t>
            </w:r>
          </w:p>
          <w:p w14:paraId="287AF88A">
            <w:pPr>
              <w:spacing w:line="360" w:lineRule="auto"/>
              <w:ind w:left="-172" w:leftChars="-82" w:firstLine="420" w:firstLineChars="200"/>
              <w:jc w:val="center"/>
              <w:rPr>
                <w:rFonts w:ascii="宋体" w:hAnsi="宋体" w:cs="宋体"/>
                <w:szCs w:val="21"/>
              </w:rPr>
            </w:pPr>
            <w:r>
              <w:rPr>
                <w:rFonts w:hint="eastAsia" w:ascii="宋体" w:hAnsi="宋体" w:cs="宋体"/>
                <w:szCs w:val="21"/>
              </w:rPr>
              <w:t>第（）页</w:t>
            </w:r>
          </w:p>
        </w:tc>
      </w:tr>
      <w:tr w14:paraId="146D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555" w:type="dxa"/>
            <w:vAlign w:val="center"/>
          </w:tcPr>
          <w:p w14:paraId="3DBABA30">
            <w:pPr>
              <w:spacing w:line="360" w:lineRule="auto"/>
              <w:jc w:val="center"/>
              <w:rPr>
                <w:rFonts w:ascii="宋体" w:hAnsi="宋体" w:cs="宋体"/>
                <w:szCs w:val="21"/>
              </w:rPr>
            </w:pPr>
          </w:p>
        </w:tc>
        <w:tc>
          <w:tcPr>
            <w:tcW w:w="5753" w:type="dxa"/>
            <w:vAlign w:val="center"/>
          </w:tcPr>
          <w:p w14:paraId="23FFABC0">
            <w:pPr>
              <w:wordWrap w:val="0"/>
              <w:spacing w:line="360" w:lineRule="auto"/>
              <w:ind w:firstLine="420" w:firstLineChars="200"/>
              <w:rPr>
                <w:rFonts w:ascii="宋体" w:hAnsi="宋体" w:cs="宋体"/>
                <w:bCs/>
                <w:szCs w:val="21"/>
              </w:rPr>
            </w:pPr>
          </w:p>
        </w:tc>
        <w:tc>
          <w:tcPr>
            <w:tcW w:w="1391" w:type="dxa"/>
            <w:vAlign w:val="center"/>
          </w:tcPr>
          <w:p w14:paraId="18BFCF81">
            <w:pPr>
              <w:spacing w:line="360" w:lineRule="auto"/>
              <w:ind w:firstLine="420" w:firstLineChars="200"/>
              <w:jc w:val="left"/>
              <w:rPr>
                <w:rFonts w:ascii="宋体" w:hAnsi="宋体" w:cs="宋体"/>
                <w:szCs w:val="21"/>
              </w:rPr>
            </w:pPr>
            <w:r>
              <w:rPr>
                <w:rFonts w:hint="eastAsia" w:ascii="宋体" w:hAnsi="宋体" w:cs="宋体"/>
                <w:szCs w:val="21"/>
              </w:rPr>
              <w:t>□通过</w:t>
            </w:r>
          </w:p>
          <w:p w14:paraId="27227648">
            <w:pPr>
              <w:spacing w:line="360" w:lineRule="auto"/>
              <w:ind w:firstLine="420" w:firstLineChars="200"/>
              <w:jc w:val="left"/>
              <w:rPr>
                <w:rFonts w:ascii="宋体" w:hAnsi="宋体" w:cs="宋体"/>
                <w:szCs w:val="21"/>
              </w:rPr>
            </w:pPr>
            <w:r>
              <w:rPr>
                <w:rFonts w:hint="eastAsia" w:ascii="宋体" w:hAnsi="宋体" w:cs="宋体"/>
                <w:szCs w:val="21"/>
              </w:rPr>
              <w:t>□不通过</w:t>
            </w:r>
          </w:p>
        </w:tc>
        <w:tc>
          <w:tcPr>
            <w:tcW w:w="1940" w:type="dxa"/>
            <w:vAlign w:val="center"/>
          </w:tcPr>
          <w:p w14:paraId="6FA20DE4">
            <w:pPr>
              <w:spacing w:line="360" w:lineRule="auto"/>
              <w:ind w:left="-172" w:leftChars="-82" w:firstLine="420" w:firstLineChars="200"/>
              <w:jc w:val="center"/>
              <w:rPr>
                <w:rFonts w:ascii="宋体" w:hAnsi="宋体" w:cs="宋体"/>
                <w:szCs w:val="21"/>
              </w:rPr>
            </w:pPr>
            <w:r>
              <w:rPr>
                <w:rFonts w:hint="eastAsia" w:ascii="宋体" w:hAnsi="宋体" w:cs="宋体"/>
                <w:szCs w:val="21"/>
              </w:rPr>
              <w:t>见投标/响应文件</w:t>
            </w:r>
          </w:p>
          <w:p w14:paraId="377F7EB5">
            <w:pPr>
              <w:spacing w:line="360" w:lineRule="auto"/>
              <w:ind w:left="-172" w:leftChars="-82" w:firstLine="420" w:firstLineChars="200"/>
              <w:jc w:val="center"/>
              <w:rPr>
                <w:rFonts w:ascii="宋体" w:hAnsi="宋体" w:cs="宋体"/>
                <w:szCs w:val="21"/>
              </w:rPr>
            </w:pPr>
            <w:r>
              <w:rPr>
                <w:rFonts w:hint="eastAsia" w:ascii="宋体" w:hAnsi="宋体" w:cs="宋体"/>
                <w:szCs w:val="21"/>
              </w:rPr>
              <w:t>第（）页</w:t>
            </w:r>
          </w:p>
        </w:tc>
      </w:tr>
    </w:tbl>
    <w:p w14:paraId="5692296B">
      <w:pPr>
        <w:pStyle w:val="6"/>
        <w:spacing w:after="0" w:line="360" w:lineRule="auto"/>
        <w:ind w:firstLine="420" w:firstLineChars="200"/>
        <w:rPr>
          <w:rFonts w:ascii="宋体" w:hAnsi="宋体" w:cs="宋体"/>
          <w:sz w:val="21"/>
          <w:szCs w:val="21"/>
        </w:rPr>
      </w:pPr>
    </w:p>
    <w:p w14:paraId="26D9BBA1">
      <w:pPr>
        <w:pStyle w:val="6"/>
        <w:spacing w:after="0" w:line="360" w:lineRule="auto"/>
        <w:ind w:firstLine="420" w:firstLineChars="200"/>
        <w:rPr>
          <w:rFonts w:ascii="宋体" w:hAnsi="宋体" w:cs="宋体"/>
          <w:sz w:val="21"/>
          <w:szCs w:val="21"/>
        </w:rPr>
      </w:pPr>
      <w:r>
        <w:rPr>
          <w:rFonts w:hint="eastAsia" w:ascii="宋体" w:hAnsi="宋体" w:cs="宋体"/>
          <w:sz w:val="21"/>
          <w:szCs w:val="21"/>
        </w:rPr>
        <w:t>注：投标人必须严格按照此表的评审内容的要求如实提供证明材料。未通过资格性审查的投标人，不进入符合性审查。对缺漏和不符合项将会直接导致无效投标！在对应的□打“√”</w:t>
      </w:r>
    </w:p>
    <w:p w14:paraId="7351F766">
      <w:pPr>
        <w:adjustRightInd w:val="0"/>
        <w:snapToGrid w:val="0"/>
        <w:spacing w:line="360" w:lineRule="auto"/>
        <w:ind w:firstLine="420" w:firstLineChars="200"/>
        <w:rPr>
          <w:rFonts w:ascii="宋体" w:hAnsi="宋体" w:cs="宋体"/>
          <w:szCs w:val="21"/>
        </w:rPr>
      </w:pPr>
    </w:p>
    <w:p w14:paraId="3DD9B644">
      <w:pPr>
        <w:adjustRightInd w:val="0"/>
        <w:snapToGrid w:val="0"/>
        <w:spacing w:line="360" w:lineRule="auto"/>
        <w:ind w:firstLine="420" w:firstLineChars="200"/>
        <w:rPr>
          <w:rFonts w:ascii="宋体" w:hAnsi="宋体" w:cs="宋体"/>
          <w:szCs w:val="21"/>
        </w:rPr>
      </w:pPr>
    </w:p>
    <w:p w14:paraId="3E520E1C">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投标人法定代表人（或投标人授权代表）签字或盖章：</w:t>
      </w:r>
      <w:r>
        <w:rPr>
          <w:rFonts w:hint="eastAsia" w:ascii="宋体" w:hAnsi="宋体" w:cs="宋体"/>
          <w:szCs w:val="21"/>
          <w:u w:val="single"/>
        </w:rPr>
        <w:t xml:space="preserve">               </w:t>
      </w:r>
    </w:p>
    <w:p w14:paraId="062DA1F2">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投标人名称（盖章）：</w:t>
      </w:r>
      <w:r>
        <w:rPr>
          <w:rFonts w:hint="eastAsia" w:ascii="宋体" w:hAnsi="宋体" w:cs="宋体"/>
          <w:szCs w:val="21"/>
          <w:u w:val="single"/>
        </w:rPr>
        <w:t xml:space="preserve">                      </w:t>
      </w:r>
    </w:p>
    <w:p w14:paraId="28F7ADE9">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FCC3775">
      <w:pPr>
        <w:pStyle w:val="6"/>
        <w:spacing w:line="360" w:lineRule="auto"/>
        <w:ind w:firstLine="422" w:firstLineChars="200"/>
        <w:rPr>
          <w:rFonts w:ascii="宋体" w:hAnsi="宋体" w:cs="宋体"/>
          <w:b/>
          <w:bCs/>
          <w:sz w:val="21"/>
          <w:szCs w:val="21"/>
        </w:rPr>
      </w:pPr>
      <w:r>
        <w:rPr>
          <w:rFonts w:hint="eastAsia" w:ascii="宋体" w:hAnsi="宋体" w:cs="宋体"/>
          <w:b/>
          <w:bCs/>
          <w:sz w:val="21"/>
          <w:szCs w:val="21"/>
        </w:rPr>
        <w:br w:type="page"/>
      </w:r>
      <w:r>
        <w:rPr>
          <w:rFonts w:hint="eastAsia" w:ascii="宋体" w:hAnsi="宋体" w:cs="宋体"/>
          <w:b/>
          <w:bCs/>
          <w:sz w:val="21"/>
          <w:szCs w:val="21"/>
        </w:rPr>
        <w:t>1.2符合性自查表</w:t>
      </w:r>
    </w:p>
    <w:tbl>
      <w:tblPr>
        <w:tblStyle w:val="20"/>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5"/>
        <w:gridCol w:w="4929"/>
        <w:gridCol w:w="1453"/>
        <w:gridCol w:w="1929"/>
      </w:tblGrid>
      <w:tr w14:paraId="440A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835" w:type="dxa"/>
            <w:shd w:val="clear" w:color="auto" w:fill="D9D9D9"/>
            <w:vAlign w:val="center"/>
          </w:tcPr>
          <w:p w14:paraId="7669EBA3">
            <w:pPr>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4929" w:type="dxa"/>
            <w:shd w:val="clear" w:color="auto" w:fill="D9D9D9"/>
            <w:vAlign w:val="center"/>
          </w:tcPr>
          <w:p w14:paraId="2B938F77">
            <w:pPr>
              <w:spacing w:line="360" w:lineRule="auto"/>
              <w:jc w:val="center"/>
              <w:rPr>
                <w:rFonts w:ascii="宋体" w:hAnsi="宋体" w:cs="宋体"/>
                <w:b/>
                <w:bCs/>
                <w:szCs w:val="21"/>
                <w:highlight w:val="none"/>
              </w:rPr>
            </w:pPr>
            <w:r>
              <w:rPr>
                <w:rFonts w:hint="eastAsia" w:ascii="宋体" w:hAnsi="宋体" w:cs="宋体"/>
                <w:b/>
                <w:szCs w:val="21"/>
                <w:highlight w:val="none"/>
              </w:rPr>
              <w:t>招标文件要求</w:t>
            </w:r>
          </w:p>
        </w:tc>
        <w:tc>
          <w:tcPr>
            <w:tcW w:w="1453" w:type="dxa"/>
            <w:shd w:val="clear" w:color="auto" w:fill="D9D9D9"/>
            <w:vAlign w:val="center"/>
          </w:tcPr>
          <w:p w14:paraId="5652ABA3">
            <w:pPr>
              <w:spacing w:line="360" w:lineRule="auto"/>
              <w:jc w:val="center"/>
              <w:rPr>
                <w:rFonts w:ascii="宋体" w:hAnsi="宋体" w:cs="宋体"/>
                <w:b/>
                <w:szCs w:val="21"/>
              </w:rPr>
            </w:pPr>
            <w:r>
              <w:rPr>
                <w:rFonts w:hint="eastAsia" w:ascii="宋体" w:hAnsi="宋体" w:cs="宋体"/>
                <w:b/>
                <w:szCs w:val="21"/>
              </w:rPr>
              <w:t>自查结论</w:t>
            </w:r>
          </w:p>
        </w:tc>
        <w:tc>
          <w:tcPr>
            <w:tcW w:w="1929" w:type="dxa"/>
            <w:shd w:val="clear" w:color="auto" w:fill="D9D9D9"/>
            <w:vAlign w:val="center"/>
          </w:tcPr>
          <w:p w14:paraId="7AD353D7">
            <w:pPr>
              <w:spacing w:line="360" w:lineRule="auto"/>
              <w:ind w:left="-171"/>
              <w:jc w:val="center"/>
              <w:rPr>
                <w:rFonts w:ascii="宋体" w:hAnsi="宋体" w:cs="宋体"/>
                <w:b/>
                <w:szCs w:val="21"/>
              </w:rPr>
            </w:pPr>
            <w:r>
              <w:rPr>
                <w:rFonts w:hint="eastAsia" w:ascii="宋体" w:hAnsi="宋体" w:cs="宋体"/>
                <w:b/>
                <w:szCs w:val="21"/>
              </w:rPr>
              <w:t>证明资料</w:t>
            </w:r>
          </w:p>
        </w:tc>
      </w:tr>
      <w:tr w14:paraId="4F2E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835" w:type="dxa"/>
            <w:vAlign w:val="center"/>
          </w:tcPr>
          <w:p w14:paraId="427AA8DE">
            <w:pPr>
              <w:spacing w:line="360" w:lineRule="auto"/>
              <w:jc w:val="center"/>
              <w:rPr>
                <w:rFonts w:ascii="宋体" w:hAnsi="宋体" w:cs="宋体"/>
                <w:spacing w:val="40"/>
                <w:szCs w:val="21"/>
                <w:highlight w:val="yellow"/>
              </w:rPr>
            </w:pPr>
          </w:p>
        </w:tc>
        <w:tc>
          <w:tcPr>
            <w:tcW w:w="4929" w:type="dxa"/>
            <w:vAlign w:val="center"/>
          </w:tcPr>
          <w:p w14:paraId="30EF6EBF">
            <w:pPr>
              <w:jc w:val="left"/>
              <w:rPr>
                <w:rFonts w:ascii="宋体" w:hAnsi="宋体" w:cs="宋体"/>
                <w:szCs w:val="21"/>
                <w:highlight w:val="yellow"/>
              </w:rPr>
            </w:pPr>
          </w:p>
        </w:tc>
        <w:tc>
          <w:tcPr>
            <w:tcW w:w="1453" w:type="dxa"/>
            <w:vAlign w:val="center"/>
          </w:tcPr>
          <w:p w14:paraId="0317694C">
            <w:pPr>
              <w:spacing w:line="360" w:lineRule="auto"/>
              <w:ind w:firstLine="420" w:firstLineChars="200"/>
              <w:jc w:val="left"/>
              <w:rPr>
                <w:rFonts w:ascii="宋体" w:hAnsi="宋体" w:cs="宋体"/>
                <w:szCs w:val="21"/>
              </w:rPr>
            </w:pPr>
            <w:r>
              <w:rPr>
                <w:rFonts w:hint="eastAsia" w:ascii="宋体" w:hAnsi="宋体" w:cs="宋体"/>
                <w:szCs w:val="21"/>
              </w:rPr>
              <w:t>□通过</w:t>
            </w:r>
          </w:p>
          <w:p w14:paraId="265A2605">
            <w:pPr>
              <w:spacing w:line="360" w:lineRule="auto"/>
              <w:ind w:firstLine="420" w:firstLineChars="200"/>
              <w:jc w:val="left"/>
              <w:rPr>
                <w:rFonts w:ascii="宋体" w:hAnsi="宋体" w:cs="宋体"/>
                <w:szCs w:val="21"/>
              </w:rPr>
            </w:pPr>
            <w:r>
              <w:rPr>
                <w:rFonts w:hint="eastAsia" w:ascii="宋体" w:hAnsi="宋体" w:cs="宋体"/>
                <w:szCs w:val="21"/>
              </w:rPr>
              <w:t>□不通过</w:t>
            </w:r>
          </w:p>
        </w:tc>
        <w:tc>
          <w:tcPr>
            <w:tcW w:w="1929" w:type="dxa"/>
            <w:vAlign w:val="center"/>
          </w:tcPr>
          <w:p w14:paraId="6CF49C57">
            <w:pPr>
              <w:spacing w:line="360" w:lineRule="auto"/>
              <w:ind w:left="-172" w:leftChars="-82" w:firstLine="420" w:firstLineChars="200"/>
              <w:jc w:val="center"/>
              <w:rPr>
                <w:rFonts w:ascii="宋体" w:hAnsi="宋体" w:cs="宋体"/>
                <w:szCs w:val="21"/>
              </w:rPr>
            </w:pPr>
            <w:r>
              <w:rPr>
                <w:rFonts w:hint="eastAsia" w:ascii="宋体" w:hAnsi="宋体" w:cs="宋体"/>
                <w:szCs w:val="21"/>
              </w:rPr>
              <w:t>见投标/响应文件</w:t>
            </w:r>
          </w:p>
          <w:p w14:paraId="202C5040">
            <w:pPr>
              <w:spacing w:line="360" w:lineRule="auto"/>
              <w:ind w:left="-172" w:leftChars="-82" w:firstLine="420" w:firstLineChars="200"/>
              <w:jc w:val="center"/>
              <w:rPr>
                <w:rFonts w:ascii="宋体" w:hAnsi="宋体" w:cs="宋体"/>
                <w:szCs w:val="21"/>
              </w:rPr>
            </w:pPr>
            <w:r>
              <w:rPr>
                <w:rFonts w:hint="eastAsia" w:ascii="宋体" w:hAnsi="宋体" w:cs="宋体"/>
                <w:szCs w:val="21"/>
              </w:rPr>
              <w:t>第（）页</w:t>
            </w:r>
          </w:p>
        </w:tc>
      </w:tr>
      <w:tr w14:paraId="7730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835" w:type="dxa"/>
            <w:vAlign w:val="center"/>
          </w:tcPr>
          <w:p w14:paraId="12B99CC6">
            <w:pPr>
              <w:spacing w:line="360" w:lineRule="auto"/>
              <w:jc w:val="center"/>
              <w:rPr>
                <w:rFonts w:ascii="宋体" w:hAnsi="宋体" w:cs="宋体"/>
                <w:szCs w:val="21"/>
                <w:highlight w:val="yellow"/>
              </w:rPr>
            </w:pPr>
          </w:p>
        </w:tc>
        <w:tc>
          <w:tcPr>
            <w:tcW w:w="4929" w:type="dxa"/>
            <w:vAlign w:val="center"/>
          </w:tcPr>
          <w:p w14:paraId="022CDE84">
            <w:pPr>
              <w:jc w:val="left"/>
              <w:rPr>
                <w:rFonts w:ascii="宋体" w:hAnsi="宋体" w:cs="宋体"/>
                <w:szCs w:val="21"/>
                <w:highlight w:val="yellow"/>
              </w:rPr>
            </w:pPr>
          </w:p>
        </w:tc>
        <w:tc>
          <w:tcPr>
            <w:tcW w:w="1453" w:type="dxa"/>
            <w:vAlign w:val="center"/>
          </w:tcPr>
          <w:p w14:paraId="73A515F5">
            <w:pPr>
              <w:spacing w:line="360" w:lineRule="auto"/>
              <w:ind w:firstLine="420" w:firstLineChars="200"/>
              <w:jc w:val="left"/>
              <w:rPr>
                <w:rFonts w:ascii="宋体" w:hAnsi="宋体" w:cs="宋体"/>
                <w:szCs w:val="21"/>
              </w:rPr>
            </w:pPr>
            <w:r>
              <w:rPr>
                <w:rFonts w:hint="eastAsia" w:ascii="宋体" w:hAnsi="宋体" w:cs="宋体"/>
                <w:szCs w:val="21"/>
              </w:rPr>
              <w:t>□通过</w:t>
            </w:r>
          </w:p>
          <w:p w14:paraId="4819FDD9">
            <w:pPr>
              <w:spacing w:line="360" w:lineRule="auto"/>
              <w:ind w:firstLine="420" w:firstLineChars="200"/>
              <w:jc w:val="left"/>
              <w:rPr>
                <w:rFonts w:ascii="宋体" w:hAnsi="宋体" w:cs="宋体"/>
                <w:szCs w:val="21"/>
              </w:rPr>
            </w:pPr>
            <w:r>
              <w:rPr>
                <w:rFonts w:hint="eastAsia" w:ascii="宋体" w:hAnsi="宋体" w:cs="宋体"/>
                <w:szCs w:val="21"/>
              </w:rPr>
              <w:t>□不通过</w:t>
            </w:r>
          </w:p>
        </w:tc>
        <w:tc>
          <w:tcPr>
            <w:tcW w:w="1929" w:type="dxa"/>
            <w:vAlign w:val="center"/>
          </w:tcPr>
          <w:p w14:paraId="7070C088">
            <w:pPr>
              <w:spacing w:line="360" w:lineRule="auto"/>
              <w:ind w:left="-172" w:leftChars="-82" w:firstLine="420" w:firstLineChars="200"/>
              <w:jc w:val="center"/>
              <w:rPr>
                <w:rFonts w:ascii="宋体" w:hAnsi="宋体" w:cs="宋体"/>
                <w:szCs w:val="21"/>
              </w:rPr>
            </w:pPr>
            <w:r>
              <w:rPr>
                <w:rFonts w:hint="eastAsia" w:ascii="宋体" w:hAnsi="宋体" w:cs="宋体"/>
                <w:szCs w:val="21"/>
              </w:rPr>
              <w:t>见投标/响应文件</w:t>
            </w:r>
          </w:p>
          <w:p w14:paraId="5AE7171F">
            <w:pPr>
              <w:spacing w:line="360" w:lineRule="auto"/>
              <w:ind w:left="-172" w:leftChars="-82" w:firstLine="420" w:firstLineChars="200"/>
              <w:jc w:val="center"/>
              <w:rPr>
                <w:rFonts w:ascii="宋体" w:hAnsi="宋体" w:cs="宋体"/>
                <w:szCs w:val="21"/>
              </w:rPr>
            </w:pPr>
            <w:r>
              <w:rPr>
                <w:rFonts w:hint="eastAsia" w:ascii="宋体" w:hAnsi="宋体" w:cs="宋体"/>
                <w:szCs w:val="21"/>
              </w:rPr>
              <w:t>第（）页</w:t>
            </w:r>
          </w:p>
        </w:tc>
      </w:tr>
      <w:tr w14:paraId="654F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835" w:type="dxa"/>
            <w:vAlign w:val="center"/>
          </w:tcPr>
          <w:p w14:paraId="47D924C1">
            <w:pPr>
              <w:spacing w:line="360" w:lineRule="auto"/>
              <w:jc w:val="center"/>
              <w:rPr>
                <w:rFonts w:ascii="宋体" w:hAnsi="宋体" w:cs="宋体"/>
                <w:szCs w:val="21"/>
                <w:highlight w:val="yellow"/>
              </w:rPr>
            </w:pPr>
          </w:p>
        </w:tc>
        <w:tc>
          <w:tcPr>
            <w:tcW w:w="4929" w:type="dxa"/>
            <w:vAlign w:val="center"/>
          </w:tcPr>
          <w:p w14:paraId="1269A491">
            <w:pPr>
              <w:jc w:val="left"/>
              <w:rPr>
                <w:rFonts w:ascii="宋体" w:hAnsi="宋体" w:cs="宋体"/>
                <w:szCs w:val="21"/>
                <w:highlight w:val="yellow"/>
              </w:rPr>
            </w:pPr>
          </w:p>
        </w:tc>
        <w:tc>
          <w:tcPr>
            <w:tcW w:w="1453" w:type="dxa"/>
            <w:vAlign w:val="center"/>
          </w:tcPr>
          <w:p w14:paraId="76D7382D">
            <w:pPr>
              <w:spacing w:line="360" w:lineRule="auto"/>
              <w:ind w:firstLine="420" w:firstLineChars="200"/>
              <w:jc w:val="left"/>
              <w:rPr>
                <w:rFonts w:ascii="宋体" w:hAnsi="宋体" w:cs="宋体"/>
                <w:szCs w:val="21"/>
              </w:rPr>
            </w:pPr>
            <w:r>
              <w:rPr>
                <w:rFonts w:hint="eastAsia" w:ascii="宋体" w:hAnsi="宋体" w:cs="宋体"/>
                <w:szCs w:val="21"/>
              </w:rPr>
              <w:t>□通过</w:t>
            </w:r>
          </w:p>
          <w:p w14:paraId="3E316B72">
            <w:pPr>
              <w:spacing w:line="360" w:lineRule="auto"/>
              <w:ind w:firstLine="420" w:firstLineChars="200"/>
              <w:jc w:val="left"/>
              <w:rPr>
                <w:rFonts w:ascii="宋体" w:hAnsi="宋体" w:cs="宋体"/>
                <w:szCs w:val="21"/>
              </w:rPr>
            </w:pPr>
            <w:r>
              <w:rPr>
                <w:rFonts w:hint="eastAsia" w:ascii="宋体" w:hAnsi="宋体" w:cs="宋体"/>
                <w:szCs w:val="21"/>
              </w:rPr>
              <w:t>□不通过</w:t>
            </w:r>
          </w:p>
        </w:tc>
        <w:tc>
          <w:tcPr>
            <w:tcW w:w="1929" w:type="dxa"/>
            <w:vAlign w:val="center"/>
          </w:tcPr>
          <w:p w14:paraId="1749FEB9">
            <w:pPr>
              <w:spacing w:line="360" w:lineRule="auto"/>
              <w:ind w:left="-172" w:leftChars="-82" w:firstLine="420" w:firstLineChars="200"/>
              <w:jc w:val="center"/>
              <w:rPr>
                <w:rFonts w:ascii="宋体" w:hAnsi="宋体" w:cs="宋体"/>
                <w:szCs w:val="21"/>
              </w:rPr>
            </w:pPr>
            <w:r>
              <w:rPr>
                <w:rFonts w:hint="eastAsia" w:ascii="宋体" w:hAnsi="宋体" w:cs="宋体"/>
                <w:szCs w:val="21"/>
              </w:rPr>
              <w:t>见投标/响应文件</w:t>
            </w:r>
          </w:p>
          <w:p w14:paraId="5248BA72">
            <w:pPr>
              <w:spacing w:line="360" w:lineRule="auto"/>
              <w:ind w:left="-172" w:leftChars="-82" w:firstLine="420" w:firstLineChars="200"/>
              <w:jc w:val="center"/>
              <w:rPr>
                <w:rFonts w:ascii="宋体" w:hAnsi="宋体" w:cs="宋体"/>
                <w:szCs w:val="21"/>
              </w:rPr>
            </w:pPr>
            <w:r>
              <w:rPr>
                <w:rFonts w:hint="eastAsia" w:ascii="宋体" w:hAnsi="宋体" w:cs="宋体"/>
                <w:szCs w:val="21"/>
              </w:rPr>
              <w:t>第（）页</w:t>
            </w:r>
          </w:p>
        </w:tc>
      </w:tr>
      <w:tr w14:paraId="7A96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jc w:val="center"/>
        </w:trPr>
        <w:tc>
          <w:tcPr>
            <w:tcW w:w="835" w:type="dxa"/>
            <w:vAlign w:val="center"/>
          </w:tcPr>
          <w:p w14:paraId="7B930F15">
            <w:pPr>
              <w:spacing w:line="360" w:lineRule="auto"/>
              <w:jc w:val="center"/>
              <w:rPr>
                <w:rFonts w:ascii="宋体" w:hAnsi="宋体" w:cs="宋体"/>
                <w:szCs w:val="21"/>
                <w:highlight w:val="yellow"/>
              </w:rPr>
            </w:pPr>
          </w:p>
        </w:tc>
        <w:tc>
          <w:tcPr>
            <w:tcW w:w="4929" w:type="dxa"/>
            <w:vAlign w:val="center"/>
          </w:tcPr>
          <w:p w14:paraId="3599DD29">
            <w:pPr>
              <w:jc w:val="left"/>
              <w:rPr>
                <w:rFonts w:ascii="宋体" w:hAnsi="宋体" w:cs="宋体"/>
                <w:b/>
                <w:szCs w:val="21"/>
                <w:highlight w:val="yellow"/>
              </w:rPr>
            </w:pPr>
          </w:p>
        </w:tc>
        <w:tc>
          <w:tcPr>
            <w:tcW w:w="1453" w:type="dxa"/>
            <w:vAlign w:val="center"/>
          </w:tcPr>
          <w:p w14:paraId="044E2E43">
            <w:pPr>
              <w:spacing w:line="360" w:lineRule="auto"/>
              <w:ind w:firstLine="420" w:firstLineChars="200"/>
              <w:jc w:val="left"/>
              <w:rPr>
                <w:rFonts w:ascii="宋体" w:hAnsi="宋体" w:cs="宋体"/>
                <w:szCs w:val="21"/>
              </w:rPr>
            </w:pPr>
            <w:r>
              <w:rPr>
                <w:rFonts w:hint="eastAsia" w:ascii="宋体" w:hAnsi="宋体" w:cs="宋体"/>
                <w:szCs w:val="21"/>
              </w:rPr>
              <w:t>□通过</w:t>
            </w:r>
          </w:p>
          <w:p w14:paraId="0EEE1FAD">
            <w:pPr>
              <w:spacing w:line="360" w:lineRule="auto"/>
              <w:ind w:firstLine="420" w:firstLineChars="200"/>
              <w:jc w:val="left"/>
              <w:rPr>
                <w:rFonts w:ascii="宋体" w:hAnsi="宋体" w:cs="宋体"/>
                <w:szCs w:val="21"/>
              </w:rPr>
            </w:pPr>
            <w:r>
              <w:rPr>
                <w:rFonts w:hint="eastAsia" w:ascii="宋体" w:hAnsi="宋体" w:cs="宋体"/>
                <w:szCs w:val="21"/>
              </w:rPr>
              <w:t>□不通过</w:t>
            </w:r>
          </w:p>
        </w:tc>
        <w:tc>
          <w:tcPr>
            <w:tcW w:w="1929" w:type="dxa"/>
            <w:vAlign w:val="center"/>
          </w:tcPr>
          <w:p w14:paraId="68B353C2">
            <w:pPr>
              <w:spacing w:line="360" w:lineRule="auto"/>
              <w:ind w:left="-172" w:leftChars="-82" w:firstLine="420" w:firstLineChars="200"/>
              <w:jc w:val="center"/>
              <w:rPr>
                <w:rFonts w:ascii="宋体" w:hAnsi="宋体" w:cs="宋体"/>
                <w:szCs w:val="21"/>
              </w:rPr>
            </w:pPr>
            <w:r>
              <w:rPr>
                <w:rFonts w:hint="eastAsia" w:ascii="宋体" w:hAnsi="宋体" w:cs="宋体"/>
                <w:szCs w:val="21"/>
              </w:rPr>
              <w:t>见投标/响应文件</w:t>
            </w:r>
          </w:p>
          <w:p w14:paraId="3F59022E">
            <w:pPr>
              <w:spacing w:line="360" w:lineRule="auto"/>
              <w:ind w:left="-172" w:leftChars="-82" w:firstLine="420" w:firstLineChars="200"/>
              <w:jc w:val="center"/>
              <w:rPr>
                <w:rFonts w:ascii="宋体" w:hAnsi="宋体" w:cs="宋体"/>
                <w:szCs w:val="21"/>
              </w:rPr>
            </w:pPr>
            <w:r>
              <w:rPr>
                <w:rFonts w:hint="eastAsia" w:ascii="宋体" w:hAnsi="宋体" w:cs="宋体"/>
                <w:szCs w:val="21"/>
              </w:rPr>
              <w:t>第（）页</w:t>
            </w:r>
          </w:p>
        </w:tc>
      </w:tr>
      <w:tr w14:paraId="69A2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835" w:type="dxa"/>
            <w:vAlign w:val="center"/>
          </w:tcPr>
          <w:p w14:paraId="4F0420EE">
            <w:pPr>
              <w:spacing w:line="360" w:lineRule="auto"/>
              <w:jc w:val="center"/>
              <w:rPr>
                <w:rFonts w:ascii="宋体" w:hAnsi="宋体" w:cs="宋体"/>
                <w:szCs w:val="21"/>
                <w:highlight w:val="yellow"/>
              </w:rPr>
            </w:pPr>
          </w:p>
        </w:tc>
        <w:tc>
          <w:tcPr>
            <w:tcW w:w="4929" w:type="dxa"/>
            <w:vAlign w:val="center"/>
          </w:tcPr>
          <w:p w14:paraId="4D983F1D">
            <w:pPr>
              <w:jc w:val="left"/>
              <w:rPr>
                <w:rFonts w:ascii="宋体" w:hAnsi="宋体" w:cs="宋体"/>
                <w:szCs w:val="21"/>
                <w:highlight w:val="yellow"/>
              </w:rPr>
            </w:pPr>
          </w:p>
        </w:tc>
        <w:tc>
          <w:tcPr>
            <w:tcW w:w="1453" w:type="dxa"/>
            <w:vAlign w:val="center"/>
          </w:tcPr>
          <w:p w14:paraId="7A913BC4">
            <w:pPr>
              <w:spacing w:line="360" w:lineRule="auto"/>
              <w:ind w:firstLine="420" w:firstLineChars="200"/>
              <w:jc w:val="left"/>
              <w:rPr>
                <w:rFonts w:ascii="宋体" w:hAnsi="宋体" w:cs="宋体"/>
                <w:szCs w:val="21"/>
              </w:rPr>
            </w:pPr>
            <w:r>
              <w:rPr>
                <w:rFonts w:hint="eastAsia" w:ascii="宋体" w:hAnsi="宋体" w:cs="宋体"/>
                <w:szCs w:val="21"/>
              </w:rPr>
              <w:t>□通过</w:t>
            </w:r>
          </w:p>
          <w:p w14:paraId="10B17820">
            <w:pPr>
              <w:spacing w:line="360" w:lineRule="auto"/>
              <w:ind w:firstLine="420" w:firstLineChars="200"/>
              <w:jc w:val="left"/>
              <w:rPr>
                <w:rFonts w:ascii="宋体" w:hAnsi="宋体" w:cs="宋体"/>
                <w:szCs w:val="21"/>
              </w:rPr>
            </w:pPr>
            <w:r>
              <w:rPr>
                <w:rFonts w:hint="eastAsia" w:ascii="宋体" w:hAnsi="宋体" w:cs="宋体"/>
                <w:szCs w:val="21"/>
              </w:rPr>
              <w:t>□不通过</w:t>
            </w:r>
          </w:p>
        </w:tc>
        <w:tc>
          <w:tcPr>
            <w:tcW w:w="1929" w:type="dxa"/>
            <w:vAlign w:val="center"/>
          </w:tcPr>
          <w:p w14:paraId="0C53A495">
            <w:pPr>
              <w:spacing w:line="360" w:lineRule="auto"/>
              <w:ind w:left="-172" w:leftChars="-82" w:firstLine="420" w:firstLineChars="200"/>
              <w:jc w:val="center"/>
              <w:rPr>
                <w:rFonts w:ascii="宋体" w:hAnsi="宋体" w:cs="宋体"/>
                <w:szCs w:val="21"/>
              </w:rPr>
            </w:pPr>
            <w:r>
              <w:rPr>
                <w:rFonts w:hint="eastAsia" w:ascii="宋体" w:hAnsi="宋体" w:cs="宋体"/>
                <w:szCs w:val="21"/>
              </w:rPr>
              <w:t>见投标/响应文件</w:t>
            </w:r>
          </w:p>
          <w:p w14:paraId="2C4E5EBF">
            <w:pPr>
              <w:spacing w:line="360" w:lineRule="auto"/>
              <w:ind w:left="-172" w:leftChars="-82" w:firstLine="420" w:firstLineChars="200"/>
              <w:jc w:val="center"/>
              <w:rPr>
                <w:rFonts w:ascii="宋体" w:hAnsi="宋体" w:cs="宋体"/>
                <w:szCs w:val="21"/>
              </w:rPr>
            </w:pPr>
            <w:r>
              <w:rPr>
                <w:rFonts w:hint="eastAsia" w:ascii="宋体" w:hAnsi="宋体" w:cs="宋体"/>
                <w:szCs w:val="21"/>
              </w:rPr>
              <w:t>第（）页</w:t>
            </w:r>
          </w:p>
        </w:tc>
      </w:tr>
      <w:tr w14:paraId="0589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835" w:type="dxa"/>
            <w:vAlign w:val="center"/>
          </w:tcPr>
          <w:p w14:paraId="0ED858BA">
            <w:pPr>
              <w:spacing w:line="360" w:lineRule="auto"/>
              <w:jc w:val="center"/>
              <w:rPr>
                <w:rFonts w:ascii="宋体" w:hAnsi="宋体" w:cs="宋体"/>
                <w:szCs w:val="21"/>
                <w:highlight w:val="yellow"/>
              </w:rPr>
            </w:pPr>
          </w:p>
        </w:tc>
        <w:tc>
          <w:tcPr>
            <w:tcW w:w="4929" w:type="dxa"/>
            <w:vAlign w:val="center"/>
          </w:tcPr>
          <w:p w14:paraId="30DF3E78">
            <w:pPr>
              <w:jc w:val="left"/>
              <w:rPr>
                <w:rFonts w:ascii="宋体" w:hAnsi="宋体" w:cs="宋体"/>
                <w:szCs w:val="21"/>
                <w:highlight w:val="yellow"/>
              </w:rPr>
            </w:pPr>
          </w:p>
        </w:tc>
        <w:tc>
          <w:tcPr>
            <w:tcW w:w="1453" w:type="dxa"/>
            <w:vAlign w:val="center"/>
          </w:tcPr>
          <w:p w14:paraId="11529DE8">
            <w:pPr>
              <w:spacing w:line="360" w:lineRule="auto"/>
              <w:ind w:firstLine="420" w:firstLineChars="200"/>
              <w:jc w:val="left"/>
              <w:rPr>
                <w:rFonts w:ascii="宋体" w:hAnsi="宋体" w:cs="宋体"/>
                <w:szCs w:val="21"/>
              </w:rPr>
            </w:pPr>
            <w:r>
              <w:rPr>
                <w:rFonts w:hint="eastAsia" w:ascii="宋体" w:hAnsi="宋体" w:cs="宋体"/>
                <w:szCs w:val="21"/>
              </w:rPr>
              <w:t>□通过</w:t>
            </w:r>
          </w:p>
          <w:p w14:paraId="590C2CF5">
            <w:pPr>
              <w:spacing w:line="360" w:lineRule="auto"/>
              <w:ind w:firstLine="420" w:firstLineChars="200"/>
              <w:jc w:val="left"/>
              <w:rPr>
                <w:rFonts w:ascii="宋体" w:hAnsi="宋体" w:cs="宋体"/>
                <w:szCs w:val="21"/>
              </w:rPr>
            </w:pPr>
            <w:r>
              <w:rPr>
                <w:rFonts w:hint="eastAsia" w:ascii="宋体" w:hAnsi="宋体" w:cs="宋体"/>
                <w:szCs w:val="21"/>
              </w:rPr>
              <w:t>□不通过</w:t>
            </w:r>
          </w:p>
        </w:tc>
        <w:tc>
          <w:tcPr>
            <w:tcW w:w="1929" w:type="dxa"/>
            <w:vAlign w:val="center"/>
          </w:tcPr>
          <w:p w14:paraId="026E47D7">
            <w:pPr>
              <w:spacing w:line="360" w:lineRule="auto"/>
              <w:ind w:left="-172" w:leftChars="-82" w:firstLine="420" w:firstLineChars="200"/>
              <w:jc w:val="center"/>
              <w:rPr>
                <w:rFonts w:ascii="宋体" w:hAnsi="宋体" w:cs="宋体"/>
                <w:szCs w:val="21"/>
              </w:rPr>
            </w:pPr>
            <w:r>
              <w:rPr>
                <w:rFonts w:hint="eastAsia" w:ascii="宋体" w:hAnsi="宋体" w:cs="宋体"/>
                <w:szCs w:val="21"/>
              </w:rPr>
              <w:t>见投标/响应文件</w:t>
            </w:r>
          </w:p>
          <w:p w14:paraId="67DD66A8">
            <w:pPr>
              <w:spacing w:line="360" w:lineRule="auto"/>
              <w:ind w:left="-172" w:leftChars="-82" w:firstLine="420" w:firstLineChars="200"/>
              <w:jc w:val="center"/>
              <w:rPr>
                <w:rFonts w:ascii="宋体" w:hAnsi="宋体" w:cs="宋体"/>
                <w:szCs w:val="21"/>
              </w:rPr>
            </w:pPr>
            <w:r>
              <w:rPr>
                <w:rFonts w:hint="eastAsia" w:ascii="宋体" w:hAnsi="宋体" w:cs="宋体"/>
                <w:szCs w:val="21"/>
              </w:rPr>
              <w:t>第（）页</w:t>
            </w:r>
          </w:p>
        </w:tc>
      </w:tr>
    </w:tbl>
    <w:p w14:paraId="6C7D606B">
      <w:pPr>
        <w:pStyle w:val="6"/>
        <w:spacing w:line="360" w:lineRule="auto"/>
        <w:jc w:val="left"/>
        <w:rPr>
          <w:rFonts w:ascii="宋体" w:hAnsi="宋体" w:cs="宋体"/>
          <w:b/>
          <w:bCs/>
          <w:sz w:val="21"/>
          <w:szCs w:val="21"/>
        </w:rPr>
      </w:pPr>
    </w:p>
    <w:p w14:paraId="0B78F61D">
      <w:pPr>
        <w:pStyle w:val="6"/>
        <w:spacing w:after="0" w:line="360" w:lineRule="auto"/>
        <w:ind w:firstLine="420" w:firstLineChars="200"/>
        <w:rPr>
          <w:rFonts w:ascii="宋体" w:hAnsi="宋体" w:cs="宋体"/>
          <w:sz w:val="21"/>
          <w:szCs w:val="21"/>
        </w:rPr>
      </w:pPr>
      <w:r>
        <w:rPr>
          <w:rFonts w:hint="eastAsia" w:ascii="宋体" w:hAnsi="宋体" w:cs="宋体"/>
          <w:sz w:val="21"/>
          <w:szCs w:val="21"/>
        </w:rPr>
        <w:t>注：投标人必须严格按照此表的评审内容的要求如实提供证明材料。未通过符合性审查的投标人，不进入技术、商务和价格评审。对缺漏和不符合项将会直接导致无效投标！在对应的□打“√”</w:t>
      </w:r>
    </w:p>
    <w:p w14:paraId="5D57A285">
      <w:pPr>
        <w:adjustRightInd w:val="0"/>
        <w:snapToGrid w:val="0"/>
        <w:spacing w:line="360" w:lineRule="auto"/>
        <w:rPr>
          <w:rFonts w:ascii="宋体" w:hAnsi="宋体" w:cs="宋体"/>
          <w:szCs w:val="21"/>
        </w:rPr>
      </w:pPr>
    </w:p>
    <w:p w14:paraId="54ECB074">
      <w:pPr>
        <w:pStyle w:val="2"/>
      </w:pPr>
    </w:p>
    <w:p w14:paraId="2187AFCE">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投标人法定代表人（或投标人授权代表）签字或盖章：</w:t>
      </w:r>
      <w:r>
        <w:rPr>
          <w:rFonts w:hint="eastAsia" w:ascii="宋体" w:hAnsi="宋体" w:cs="宋体"/>
          <w:szCs w:val="21"/>
          <w:u w:val="single"/>
        </w:rPr>
        <w:t xml:space="preserve">               </w:t>
      </w:r>
    </w:p>
    <w:p w14:paraId="4DB0AA7D">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投标人名称（盖章）：</w:t>
      </w:r>
      <w:r>
        <w:rPr>
          <w:rFonts w:hint="eastAsia" w:ascii="宋体" w:hAnsi="宋体" w:cs="宋体"/>
          <w:szCs w:val="21"/>
          <w:u w:val="single"/>
        </w:rPr>
        <w:t xml:space="preserve">                      </w:t>
      </w:r>
    </w:p>
    <w:p w14:paraId="668AF432">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2F0D5F4">
      <w:pPr>
        <w:pStyle w:val="6"/>
        <w:spacing w:line="360" w:lineRule="auto"/>
        <w:jc w:val="left"/>
        <w:rPr>
          <w:rFonts w:ascii="宋体" w:hAnsi="宋体" w:cs="宋体"/>
          <w:b/>
          <w:bCs/>
          <w:sz w:val="21"/>
          <w:szCs w:val="21"/>
        </w:rPr>
      </w:pPr>
    </w:p>
    <w:p w14:paraId="0EEB4076">
      <w:pPr>
        <w:pStyle w:val="6"/>
        <w:spacing w:line="360" w:lineRule="auto"/>
        <w:ind w:firstLine="422" w:firstLineChars="200"/>
        <w:jc w:val="left"/>
        <w:rPr>
          <w:rFonts w:ascii="宋体" w:hAnsi="宋体" w:cs="宋体"/>
          <w:sz w:val="21"/>
          <w:szCs w:val="21"/>
        </w:rPr>
      </w:pPr>
      <w:r>
        <w:rPr>
          <w:rFonts w:hint="eastAsia" w:ascii="宋体" w:hAnsi="宋体" w:cs="宋体"/>
          <w:b/>
          <w:bCs/>
          <w:sz w:val="21"/>
          <w:szCs w:val="21"/>
        </w:rPr>
        <w:br w:type="page"/>
      </w:r>
      <w:r>
        <w:rPr>
          <w:rFonts w:hint="eastAsia" w:ascii="宋体" w:hAnsi="宋体" w:cs="宋体"/>
          <w:b/>
          <w:bCs/>
          <w:sz w:val="21"/>
          <w:szCs w:val="21"/>
        </w:rPr>
        <w:t>1.3评分内容投标/响应资料表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973"/>
        <w:gridCol w:w="4484"/>
        <w:gridCol w:w="1839"/>
      </w:tblGrid>
      <w:tr w14:paraId="692F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shd w:val="clear" w:color="auto" w:fill="D9D9D9"/>
            <w:vAlign w:val="center"/>
          </w:tcPr>
          <w:p w14:paraId="160D24BA">
            <w:pPr>
              <w:spacing w:line="360" w:lineRule="auto"/>
              <w:jc w:val="center"/>
              <w:rPr>
                <w:rFonts w:ascii="宋体" w:hAnsi="宋体" w:cs="宋体"/>
                <w:b/>
                <w:szCs w:val="21"/>
              </w:rPr>
            </w:pPr>
            <w:r>
              <w:rPr>
                <w:rFonts w:hint="eastAsia" w:ascii="宋体" w:hAnsi="宋体" w:cs="宋体"/>
                <w:b/>
                <w:szCs w:val="21"/>
              </w:rPr>
              <w:t>序号</w:t>
            </w:r>
          </w:p>
        </w:tc>
        <w:tc>
          <w:tcPr>
            <w:tcW w:w="1973" w:type="dxa"/>
            <w:shd w:val="clear" w:color="auto" w:fill="D9D9D9"/>
            <w:vAlign w:val="center"/>
          </w:tcPr>
          <w:p w14:paraId="4CD0CCBC">
            <w:pPr>
              <w:spacing w:line="360" w:lineRule="auto"/>
              <w:jc w:val="center"/>
              <w:rPr>
                <w:rFonts w:ascii="宋体" w:hAnsi="宋体" w:cs="宋体"/>
                <w:b/>
                <w:szCs w:val="21"/>
              </w:rPr>
            </w:pPr>
            <w:r>
              <w:rPr>
                <w:rFonts w:hint="eastAsia" w:ascii="宋体" w:hAnsi="宋体" w:cs="宋体"/>
                <w:b/>
                <w:szCs w:val="21"/>
              </w:rPr>
              <w:t>评分内容</w:t>
            </w:r>
          </w:p>
        </w:tc>
        <w:tc>
          <w:tcPr>
            <w:tcW w:w="4484" w:type="dxa"/>
            <w:shd w:val="clear" w:color="auto" w:fill="D9D9D9"/>
            <w:vAlign w:val="center"/>
          </w:tcPr>
          <w:p w14:paraId="1BEB3DC0">
            <w:pPr>
              <w:spacing w:line="360" w:lineRule="auto"/>
              <w:jc w:val="center"/>
              <w:rPr>
                <w:rFonts w:ascii="宋体" w:hAnsi="宋体" w:cs="宋体"/>
                <w:b/>
                <w:szCs w:val="21"/>
              </w:rPr>
            </w:pPr>
            <w:r>
              <w:rPr>
                <w:rFonts w:hint="eastAsia" w:ascii="宋体" w:hAnsi="宋体" w:cs="宋体"/>
                <w:b/>
                <w:szCs w:val="21"/>
              </w:rPr>
              <w:t>评分条款</w:t>
            </w:r>
          </w:p>
        </w:tc>
        <w:tc>
          <w:tcPr>
            <w:tcW w:w="1839" w:type="dxa"/>
            <w:shd w:val="clear" w:color="auto" w:fill="D9D9D9"/>
            <w:vAlign w:val="center"/>
          </w:tcPr>
          <w:p w14:paraId="45F84434">
            <w:pPr>
              <w:spacing w:line="360" w:lineRule="auto"/>
              <w:jc w:val="center"/>
              <w:rPr>
                <w:rFonts w:ascii="宋体" w:hAnsi="宋体" w:cs="宋体"/>
                <w:b/>
                <w:szCs w:val="21"/>
              </w:rPr>
            </w:pPr>
            <w:r>
              <w:rPr>
                <w:rFonts w:hint="eastAsia" w:ascii="宋体" w:hAnsi="宋体" w:cs="宋体"/>
                <w:b/>
                <w:szCs w:val="21"/>
              </w:rPr>
              <w:t>证明资料</w:t>
            </w:r>
          </w:p>
        </w:tc>
      </w:tr>
      <w:tr w14:paraId="3019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14:paraId="1E7F844D">
            <w:pPr>
              <w:spacing w:line="360" w:lineRule="auto"/>
              <w:jc w:val="left"/>
              <w:rPr>
                <w:rFonts w:ascii="宋体" w:hAnsi="宋体" w:cs="宋体"/>
                <w:b/>
                <w:szCs w:val="21"/>
              </w:rPr>
            </w:pPr>
          </w:p>
        </w:tc>
        <w:tc>
          <w:tcPr>
            <w:tcW w:w="1973" w:type="dxa"/>
            <w:vAlign w:val="center"/>
          </w:tcPr>
          <w:p w14:paraId="339C7912">
            <w:pPr>
              <w:spacing w:line="360" w:lineRule="auto"/>
              <w:jc w:val="left"/>
              <w:rPr>
                <w:rFonts w:ascii="宋体" w:hAnsi="宋体" w:cs="宋体"/>
                <w:b/>
                <w:szCs w:val="21"/>
              </w:rPr>
            </w:pPr>
          </w:p>
        </w:tc>
        <w:tc>
          <w:tcPr>
            <w:tcW w:w="4484" w:type="dxa"/>
            <w:vAlign w:val="center"/>
          </w:tcPr>
          <w:p w14:paraId="4F27274B">
            <w:pPr>
              <w:spacing w:line="360" w:lineRule="auto"/>
              <w:jc w:val="left"/>
              <w:rPr>
                <w:rFonts w:ascii="宋体" w:hAnsi="宋体" w:cs="宋体"/>
                <w:b/>
                <w:szCs w:val="21"/>
              </w:rPr>
            </w:pPr>
          </w:p>
        </w:tc>
        <w:tc>
          <w:tcPr>
            <w:tcW w:w="1839" w:type="dxa"/>
            <w:vAlign w:val="center"/>
          </w:tcPr>
          <w:p w14:paraId="7B4B9852">
            <w:pPr>
              <w:spacing w:line="360" w:lineRule="auto"/>
              <w:jc w:val="center"/>
              <w:rPr>
                <w:rFonts w:ascii="宋体" w:hAnsi="宋体" w:cs="宋体"/>
                <w:szCs w:val="21"/>
              </w:rPr>
            </w:pPr>
            <w:r>
              <w:rPr>
                <w:rFonts w:hint="eastAsia" w:ascii="宋体" w:hAnsi="宋体" w:cs="宋体"/>
                <w:szCs w:val="21"/>
              </w:rPr>
              <w:t>见投标/响应文件第（）页</w:t>
            </w:r>
          </w:p>
        </w:tc>
      </w:tr>
      <w:tr w14:paraId="3B8D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14:paraId="6428D41C">
            <w:pPr>
              <w:spacing w:line="360" w:lineRule="auto"/>
              <w:jc w:val="left"/>
              <w:rPr>
                <w:rFonts w:ascii="宋体" w:hAnsi="宋体" w:cs="宋体"/>
                <w:b/>
                <w:szCs w:val="21"/>
              </w:rPr>
            </w:pPr>
          </w:p>
        </w:tc>
        <w:tc>
          <w:tcPr>
            <w:tcW w:w="1973" w:type="dxa"/>
            <w:vAlign w:val="center"/>
          </w:tcPr>
          <w:p w14:paraId="2EC9EBD0">
            <w:pPr>
              <w:pStyle w:val="13"/>
              <w:spacing w:line="360" w:lineRule="auto"/>
              <w:jc w:val="left"/>
              <w:rPr>
                <w:rFonts w:ascii="宋体" w:hAnsi="宋体" w:cs="宋体"/>
                <w:szCs w:val="21"/>
              </w:rPr>
            </w:pPr>
          </w:p>
        </w:tc>
        <w:tc>
          <w:tcPr>
            <w:tcW w:w="4484" w:type="dxa"/>
            <w:vAlign w:val="center"/>
          </w:tcPr>
          <w:p w14:paraId="7AFC9EB8">
            <w:pPr>
              <w:pStyle w:val="13"/>
              <w:spacing w:line="360" w:lineRule="auto"/>
              <w:jc w:val="left"/>
              <w:rPr>
                <w:rFonts w:ascii="宋体" w:hAnsi="宋体" w:cs="宋体"/>
                <w:szCs w:val="21"/>
              </w:rPr>
            </w:pPr>
          </w:p>
        </w:tc>
        <w:tc>
          <w:tcPr>
            <w:tcW w:w="1839" w:type="dxa"/>
            <w:vAlign w:val="center"/>
          </w:tcPr>
          <w:p w14:paraId="565FEA05">
            <w:pPr>
              <w:spacing w:line="360" w:lineRule="auto"/>
              <w:jc w:val="center"/>
              <w:rPr>
                <w:rFonts w:ascii="宋体" w:hAnsi="宋体" w:cs="宋体"/>
                <w:szCs w:val="21"/>
              </w:rPr>
            </w:pPr>
            <w:r>
              <w:rPr>
                <w:rFonts w:hint="eastAsia" w:ascii="宋体" w:hAnsi="宋体" w:cs="宋体"/>
                <w:szCs w:val="21"/>
              </w:rPr>
              <w:t>见投标/响应文件第（）页</w:t>
            </w:r>
          </w:p>
        </w:tc>
      </w:tr>
      <w:tr w14:paraId="32EA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14:paraId="0E20080A">
            <w:pPr>
              <w:spacing w:line="360" w:lineRule="auto"/>
              <w:jc w:val="left"/>
              <w:rPr>
                <w:rFonts w:ascii="宋体" w:hAnsi="宋体" w:cs="宋体"/>
                <w:b/>
                <w:szCs w:val="21"/>
              </w:rPr>
            </w:pPr>
          </w:p>
        </w:tc>
        <w:tc>
          <w:tcPr>
            <w:tcW w:w="1973" w:type="dxa"/>
            <w:vAlign w:val="center"/>
          </w:tcPr>
          <w:p w14:paraId="34ABEA19">
            <w:pPr>
              <w:pStyle w:val="13"/>
              <w:spacing w:line="360" w:lineRule="auto"/>
              <w:jc w:val="left"/>
              <w:rPr>
                <w:rFonts w:ascii="宋体" w:hAnsi="宋体" w:cs="宋体"/>
                <w:b/>
                <w:bCs/>
                <w:i/>
                <w:iCs/>
                <w:szCs w:val="21"/>
              </w:rPr>
            </w:pPr>
          </w:p>
        </w:tc>
        <w:tc>
          <w:tcPr>
            <w:tcW w:w="4484" w:type="dxa"/>
            <w:vAlign w:val="center"/>
          </w:tcPr>
          <w:p w14:paraId="7EF86E7E">
            <w:pPr>
              <w:pStyle w:val="13"/>
              <w:spacing w:line="360" w:lineRule="auto"/>
              <w:jc w:val="left"/>
              <w:rPr>
                <w:rFonts w:ascii="宋体" w:hAnsi="宋体" w:cs="宋体"/>
                <w:b/>
                <w:bCs/>
                <w:i/>
                <w:iCs/>
                <w:szCs w:val="21"/>
              </w:rPr>
            </w:pPr>
          </w:p>
        </w:tc>
        <w:tc>
          <w:tcPr>
            <w:tcW w:w="1839" w:type="dxa"/>
            <w:vAlign w:val="center"/>
          </w:tcPr>
          <w:p w14:paraId="0A7C23CD">
            <w:pPr>
              <w:spacing w:line="360" w:lineRule="auto"/>
              <w:jc w:val="center"/>
              <w:rPr>
                <w:rFonts w:ascii="宋体" w:hAnsi="宋体" w:cs="宋体"/>
                <w:szCs w:val="21"/>
              </w:rPr>
            </w:pPr>
            <w:r>
              <w:rPr>
                <w:rFonts w:hint="eastAsia" w:ascii="宋体" w:hAnsi="宋体" w:cs="宋体"/>
                <w:szCs w:val="21"/>
              </w:rPr>
              <w:t>见投标/响应文件第（）页</w:t>
            </w:r>
          </w:p>
        </w:tc>
      </w:tr>
      <w:tr w14:paraId="12CF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14:paraId="38A355B2">
            <w:pPr>
              <w:spacing w:line="360" w:lineRule="auto"/>
              <w:jc w:val="left"/>
              <w:rPr>
                <w:rFonts w:ascii="宋体" w:hAnsi="宋体" w:cs="宋体"/>
                <w:b/>
                <w:szCs w:val="21"/>
              </w:rPr>
            </w:pPr>
          </w:p>
        </w:tc>
        <w:tc>
          <w:tcPr>
            <w:tcW w:w="1973" w:type="dxa"/>
            <w:vAlign w:val="center"/>
          </w:tcPr>
          <w:p w14:paraId="029DEF21">
            <w:pPr>
              <w:pStyle w:val="13"/>
              <w:spacing w:line="360" w:lineRule="auto"/>
              <w:jc w:val="left"/>
              <w:rPr>
                <w:rFonts w:ascii="宋体" w:hAnsi="宋体" w:cs="宋体"/>
                <w:szCs w:val="21"/>
              </w:rPr>
            </w:pPr>
          </w:p>
        </w:tc>
        <w:tc>
          <w:tcPr>
            <w:tcW w:w="4484" w:type="dxa"/>
            <w:vAlign w:val="center"/>
          </w:tcPr>
          <w:p w14:paraId="4A32B629">
            <w:pPr>
              <w:pStyle w:val="13"/>
              <w:spacing w:line="360" w:lineRule="auto"/>
              <w:jc w:val="left"/>
              <w:rPr>
                <w:rFonts w:ascii="宋体" w:hAnsi="宋体" w:cs="宋体"/>
                <w:szCs w:val="21"/>
              </w:rPr>
            </w:pPr>
          </w:p>
        </w:tc>
        <w:tc>
          <w:tcPr>
            <w:tcW w:w="1839" w:type="dxa"/>
            <w:vAlign w:val="center"/>
          </w:tcPr>
          <w:p w14:paraId="02535FBF">
            <w:pPr>
              <w:spacing w:line="360" w:lineRule="auto"/>
              <w:jc w:val="center"/>
              <w:rPr>
                <w:rFonts w:ascii="宋体" w:hAnsi="宋体" w:cs="宋体"/>
                <w:szCs w:val="21"/>
              </w:rPr>
            </w:pPr>
            <w:r>
              <w:rPr>
                <w:rFonts w:hint="eastAsia" w:ascii="宋体" w:hAnsi="宋体" w:cs="宋体"/>
                <w:szCs w:val="21"/>
              </w:rPr>
              <w:t>见投标/响应文件第（）页</w:t>
            </w:r>
          </w:p>
        </w:tc>
      </w:tr>
      <w:tr w14:paraId="15AA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14:paraId="35B83046">
            <w:pPr>
              <w:spacing w:line="360" w:lineRule="auto"/>
              <w:jc w:val="left"/>
              <w:rPr>
                <w:rFonts w:ascii="宋体" w:hAnsi="宋体" w:cs="宋体"/>
                <w:b/>
                <w:szCs w:val="21"/>
              </w:rPr>
            </w:pPr>
          </w:p>
        </w:tc>
        <w:tc>
          <w:tcPr>
            <w:tcW w:w="1973" w:type="dxa"/>
            <w:vAlign w:val="center"/>
          </w:tcPr>
          <w:p w14:paraId="388FBE53">
            <w:pPr>
              <w:pStyle w:val="13"/>
              <w:spacing w:line="360" w:lineRule="auto"/>
              <w:jc w:val="left"/>
              <w:rPr>
                <w:rFonts w:ascii="宋体" w:hAnsi="宋体" w:cs="宋体"/>
                <w:szCs w:val="21"/>
              </w:rPr>
            </w:pPr>
          </w:p>
        </w:tc>
        <w:tc>
          <w:tcPr>
            <w:tcW w:w="4484" w:type="dxa"/>
            <w:vAlign w:val="center"/>
          </w:tcPr>
          <w:p w14:paraId="1D9B7FF9">
            <w:pPr>
              <w:pStyle w:val="13"/>
              <w:spacing w:line="360" w:lineRule="auto"/>
              <w:jc w:val="left"/>
              <w:rPr>
                <w:rFonts w:ascii="宋体" w:hAnsi="宋体" w:cs="宋体"/>
                <w:szCs w:val="21"/>
              </w:rPr>
            </w:pPr>
          </w:p>
        </w:tc>
        <w:tc>
          <w:tcPr>
            <w:tcW w:w="1839" w:type="dxa"/>
            <w:vAlign w:val="center"/>
          </w:tcPr>
          <w:p w14:paraId="7CC2502B">
            <w:pPr>
              <w:spacing w:line="360" w:lineRule="auto"/>
              <w:jc w:val="center"/>
              <w:rPr>
                <w:rFonts w:ascii="宋体" w:hAnsi="宋体" w:cs="宋体"/>
                <w:szCs w:val="21"/>
              </w:rPr>
            </w:pPr>
            <w:r>
              <w:rPr>
                <w:rFonts w:hint="eastAsia" w:ascii="宋体" w:hAnsi="宋体" w:cs="宋体"/>
                <w:szCs w:val="21"/>
              </w:rPr>
              <w:t>见投标/响应文件第（）页</w:t>
            </w:r>
          </w:p>
        </w:tc>
      </w:tr>
      <w:tr w14:paraId="368B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14:paraId="477A7262">
            <w:pPr>
              <w:spacing w:line="360" w:lineRule="auto"/>
              <w:jc w:val="left"/>
              <w:rPr>
                <w:rFonts w:ascii="宋体" w:hAnsi="宋体" w:cs="宋体"/>
                <w:b/>
                <w:szCs w:val="21"/>
              </w:rPr>
            </w:pPr>
          </w:p>
        </w:tc>
        <w:tc>
          <w:tcPr>
            <w:tcW w:w="1973" w:type="dxa"/>
            <w:vAlign w:val="center"/>
          </w:tcPr>
          <w:p w14:paraId="065C8F82">
            <w:pPr>
              <w:pStyle w:val="13"/>
              <w:spacing w:line="360" w:lineRule="auto"/>
              <w:jc w:val="left"/>
              <w:rPr>
                <w:rFonts w:ascii="宋体" w:hAnsi="宋体" w:cs="宋体"/>
                <w:szCs w:val="21"/>
              </w:rPr>
            </w:pPr>
          </w:p>
        </w:tc>
        <w:tc>
          <w:tcPr>
            <w:tcW w:w="4484" w:type="dxa"/>
            <w:vAlign w:val="center"/>
          </w:tcPr>
          <w:p w14:paraId="439B6941">
            <w:pPr>
              <w:pStyle w:val="13"/>
              <w:spacing w:line="360" w:lineRule="auto"/>
              <w:jc w:val="left"/>
              <w:rPr>
                <w:rFonts w:ascii="宋体" w:hAnsi="宋体" w:cs="宋体"/>
                <w:szCs w:val="21"/>
              </w:rPr>
            </w:pPr>
          </w:p>
        </w:tc>
        <w:tc>
          <w:tcPr>
            <w:tcW w:w="1839" w:type="dxa"/>
            <w:vAlign w:val="center"/>
          </w:tcPr>
          <w:p w14:paraId="78DCD9C2">
            <w:pPr>
              <w:spacing w:line="360" w:lineRule="auto"/>
              <w:jc w:val="center"/>
              <w:rPr>
                <w:rFonts w:ascii="宋体" w:hAnsi="宋体" w:cs="宋体"/>
                <w:szCs w:val="21"/>
              </w:rPr>
            </w:pPr>
            <w:r>
              <w:rPr>
                <w:rFonts w:hint="eastAsia" w:ascii="宋体" w:hAnsi="宋体" w:cs="宋体"/>
                <w:szCs w:val="21"/>
              </w:rPr>
              <w:t>见投标/响应文件第（）页</w:t>
            </w:r>
          </w:p>
        </w:tc>
      </w:tr>
      <w:tr w14:paraId="704F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14:paraId="446C23DE">
            <w:pPr>
              <w:spacing w:line="360" w:lineRule="auto"/>
              <w:jc w:val="left"/>
              <w:rPr>
                <w:rFonts w:ascii="宋体" w:hAnsi="宋体" w:cs="宋体"/>
                <w:b/>
                <w:szCs w:val="21"/>
              </w:rPr>
            </w:pPr>
          </w:p>
        </w:tc>
        <w:tc>
          <w:tcPr>
            <w:tcW w:w="1973" w:type="dxa"/>
            <w:vAlign w:val="center"/>
          </w:tcPr>
          <w:p w14:paraId="28D5C1A8">
            <w:pPr>
              <w:pStyle w:val="13"/>
              <w:spacing w:line="360" w:lineRule="auto"/>
              <w:jc w:val="left"/>
              <w:rPr>
                <w:rFonts w:ascii="宋体" w:hAnsi="宋体" w:cs="宋体"/>
                <w:szCs w:val="21"/>
              </w:rPr>
            </w:pPr>
          </w:p>
        </w:tc>
        <w:tc>
          <w:tcPr>
            <w:tcW w:w="4484" w:type="dxa"/>
            <w:vAlign w:val="center"/>
          </w:tcPr>
          <w:p w14:paraId="21485953">
            <w:pPr>
              <w:pStyle w:val="13"/>
              <w:spacing w:line="360" w:lineRule="auto"/>
              <w:jc w:val="left"/>
              <w:rPr>
                <w:rFonts w:ascii="宋体" w:hAnsi="宋体" w:cs="宋体"/>
                <w:szCs w:val="21"/>
              </w:rPr>
            </w:pPr>
          </w:p>
        </w:tc>
        <w:tc>
          <w:tcPr>
            <w:tcW w:w="1839" w:type="dxa"/>
            <w:vAlign w:val="center"/>
          </w:tcPr>
          <w:p w14:paraId="52A14F9A">
            <w:pPr>
              <w:spacing w:line="360" w:lineRule="auto"/>
              <w:jc w:val="center"/>
              <w:rPr>
                <w:rFonts w:ascii="宋体" w:hAnsi="宋体" w:cs="宋体"/>
                <w:szCs w:val="21"/>
              </w:rPr>
            </w:pPr>
            <w:r>
              <w:rPr>
                <w:rFonts w:hint="eastAsia" w:ascii="宋体" w:hAnsi="宋体" w:cs="宋体"/>
                <w:szCs w:val="21"/>
              </w:rPr>
              <w:t>见投标/响应文件第（）页</w:t>
            </w:r>
          </w:p>
        </w:tc>
      </w:tr>
      <w:tr w14:paraId="7D0D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14:paraId="7ACDCD7B">
            <w:pPr>
              <w:spacing w:line="360" w:lineRule="auto"/>
              <w:jc w:val="left"/>
              <w:rPr>
                <w:rFonts w:ascii="宋体" w:hAnsi="宋体" w:cs="宋体"/>
                <w:b/>
                <w:szCs w:val="21"/>
              </w:rPr>
            </w:pPr>
          </w:p>
        </w:tc>
        <w:tc>
          <w:tcPr>
            <w:tcW w:w="1973" w:type="dxa"/>
            <w:vAlign w:val="center"/>
          </w:tcPr>
          <w:p w14:paraId="5756512D">
            <w:pPr>
              <w:pStyle w:val="13"/>
              <w:spacing w:line="360" w:lineRule="auto"/>
              <w:jc w:val="left"/>
              <w:rPr>
                <w:rFonts w:ascii="宋体" w:hAnsi="宋体" w:cs="宋体"/>
                <w:szCs w:val="21"/>
              </w:rPr>
            </w:pPr>
          </w:p>
        </w:tc>
        <w:tc>
          <w:tcPr>
            <w:tcW w:w="4484" w:type="dxa"/>
            <w:vAlign w:val="center"/>
          </w:tcPr>
          <w:p w14:paraId="430C9EC5">
            <w:pPr>
              <w:pStyle w:val="13"/>
              <w:spacing w:line="360" w:lineRule="auto"/>
              <w:jc w:val="left"/>
              <w:rPr>
                <w:rFonts w:ascii="宋体" w:hAnsi="宋体" w:cs="宋体"/>
                <w:szCs w:val="21"/>
              </w:rPr>
            </w:pPr>
          </w:p>
        </w:tc>
        <w:tc>
          <w:tcPr>
            <w:tcW w:w="1839" w:type="dxa"/>
            <w:vAlign w:val="center"/>
          </w:tcPr>
          <w:p w14:paraId="263051D8">
            <w:pPr>
              <w:spacing w:line="360" w:lineRule="auto"/>
              <w:jc w:val="center"/>
              <w:rPr>
                <w:rFonts w:ascii="宋体" w:hAnsi="宋体" w:cs="宋体"/>
                <w:szCs w:val="21"/>
              </w:rPr>
            </w:pPr>
            <w:r>
              <w:rPr>
                <w:rFonts w:hint="eastAsia" w:ascii="宋体" w:hAnsi="宋体" w:cs="宋体"/>
                <w:szCs w:val="21"/>
              </w:rPr>
              <w:t>见投标/响应文件第（）页</w:t>
            </w:r>
          </w:p>
        </w:tc>
      </w:tr>
      <w:tr w14:paraId="1C1B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14:paraId="4501F342">
            <w:pPr>
              <w:spacing w:line="360" w:lineRule="auto"/>
              <w:jc w:val="left"/>
              <w:rPr>
                <w:rFonts w:ascii="宋体" w:hAnsi="宋体" w:cs="宋体"/>
                <w:b/>
                <w:szCs w:val="21"/>
              </w:rPr>
            </w:pPr>
          </w:p>
        </w:tc>
        <w:tc>
          <w:tcPr>
            <w:tcW w:w="1973" w:type="dxa"/>
            <w:vAlign w:val="center"/>
          </w:tcPr>
          <w:p w14:paraId="3C4DE7BF">
            <w:pPr>
              <w:spacing w:line="360" w:lineRule="auto"/>
              <w:jc w:val="left"/>
              <w:rPr>
                <w:rFonts w:ascii="宋体" w:hAnsi="宋体" w:cs="宋体"/>
                <w:szCs w:val="21"/>
              </w:rPr>
            </w:pPr>
          </w:p>
        </w:tc>
        <w:tc>
          <w:tcPr>
            <w:tcW w:w="4484" w:type="dxa"/>
            <w:vAlign w:val="center"/>
          </w:tcPr>
          <w:p w14:paraId="6E55430D">
            <w:pPr>
              <w:spacing w:line="360" w:lineRule="auto"/>
              <w:jc w:val="left"/>
              <w:rPr>
                <w:rFonts w:ascii="宋体" w:hAnsi="宋体" w:cs="宋体"/>
                <w:szCs w:val="21"/>
              </w:rPr>
            </w:pPr>
          </w:p>
        </w:tc>
        <w:tc>
          <w:tcPr>
            <w:tcW w:w="1839" w:type="dxa"/>
            <w:vAlign w:val="center"/>
          </w:tcPr>
          <w:p w14:paraId="42B1A468">
            <w:pPr>
              <w:spacing w:line="360" w:lineRule="auto"/>
              <w:jc w:val="center"/>
              <w:rPr>
                <w:rFonts w:ascii="宋体" w:hAnsi="宋体" w:cs="宋体"/>
                <w:szCs w:val="21"/>
              </w:rPr>
            </w:pPr>
            <w:r>
              <w:rPr>
                <w:rFonts w:hint="eastAsia" w:ascii="宋体" w:hAnsi="宋体" w:cs="宋体"/>
                <w:szCs w:val="21"/>
              </w:rPr>
              <w:t>见投标/响应文件第（）页</w:t>
            </w:r>
          </w:p>
        </w:tc>
      </w:tr>
    </w:tbl>
    <w:p w14:paraId="4CEA83BD">
      <w:pPr>
        <w:pStyle w:val="6"/>
        <w:spacing w:line="360" w:lineRule="auto"/>
        <w:rPr>
          <w:rFonts w:ascii="宋体" w:hAnsi="宋体" w:cs="宋体"/>
          <w:sz w:val="21"/>
          <w:szCs w:val="21"/>
        </w:rPr>
      </w:pPr>
    </w:p>
    <w:p w14:paraId="3CF7F4F9">
      <w:pPr>
        <w:spacing w:line="360" w:lineRule="auto"/>
        <w:ind w:firstLine="420" w:firstLineChars="200"/>
        <w:rPr>
          <w:rFonts w:ascii="宋体" w:hAnsi="宋体" w:cs="宋体"/>
          <w:bCs/>
          <w:szCs w:val="21"/>
        </w:rPr>
      </w:pPr>
      <w:r>
        <w:rPr>
          <w:rFonts w:hint="eastAsia" w:ascii="宋体" w:hAnsi="宋体" w:cs="宋体"/>
          <w:bCs/>
          <w:szCs w:val="21"/>
        </w:rPr>
        <w:t>注：投标人根据《评标办法》的各项内容按顺序填写此表。</w:t>
      </w:r>
    </w:p>
    <w:p w14:paraId="5B7FA600">
      <w:pPr>
        <w:adjustRightInd w:val="0"/>
        <w:snapToGrid w:val="0"/>
        <w:spacing w:line="360" w:lineRule="auto"/>
        <w:ind w:firstLine="420" w:firstLineChars="200"/>
        <w:rPr>
          <w:rFonts w:ascii="宋体" w:hAnsi="宋体" w:cs="宋体"/>
          <w:szCs w:val="21"/>
        </w:rPr>
      </w:pPr>
    </w:p>
    <w:p w14:paraId="295EAF43">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投标人法定代表人（或投标人授权代表）签字或盖章：</w:t>
      </w:r>
      <w:r>
        <w:rPr>
          <w:rFonts w:hint="eastAsia" w:ascii="宋体" w:hAnsi="宋体" w:cs="宋体"/>
          <w:szCs w:val="21"/>
          <w:u w:val="single"/>
        </w:rPr>
        <w:t xml:space="preserve">               </w:t>
      </w:r>
    </w:p>
    <w:p w14:paraId="4BF28CD1">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投标人名称（盖章）：</w:t>
      </w:r>
      <w:r>
        <w:rPr>
          <w:rFonts w:hint="eastAsia" w:ascii="宋体" w:hAnsi="宋体" w:cs="宋体"/>
          <w:szCs w:val="21"/>
          <w:u w:val="single"/>
        </w:rPr>
        <w:t xml:space="preserve">                      </w:t>
      </w:r>
    </w:p>
    <w:p w14:paraId="2D08C7CA">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9FE2FEF">
      <w:pPr>
        <w:autoSpaceDE w:val="0"/>
        <w:autoSpaceDN w:val="0"/>
        <w:adjustRightInd w:val="0"/>
        <w:snapToGrid w:val="0"/>
        <w:spacing w:line="360" w:lineRule="auto"/>
        <w:ind w:firstLine="420" w:firstLineChars="200"/>
        <w:outlineLvl w:val="1"/>
        <w:rPr>
          <w:rFonts w:ascii="宋体" w:hAnsi="宋体" w:cs="宋体"/>
          <w:b/>
          <w:szCs w:val="21"/>
        </w:rPr>
      </w:pPr>
      <w:r>
        <w:rPr>
          <w:rFonts w:hint="eastAsia" w:ascii="宋体" w:hAnsi="宋体" w:cs="宋体"/>
          <w:szCs w:val="21"/>
        </w:rPr>
        <w:br w:type="page"/>
      </w:r>
      <w:r>
        <w:rPr>
          <w:rFonts w:hint="eastAsia" w:ascii="宋体" w:hAnsi="宋体" w:cs="宋体"/>
          <w:b/>
          <w:szCs w:val="21"/>
        </w:rPr>
        <w:t>二、资格性文件</w:t>
      </w:r>
    </w:p>
    <w:p w14:paraId="703A8525">
      <w:pPr>
        <w:snapToGrid w:val="0"/>
        <w:spacing w:line="360" w:lineRule="auto"/>
        <w:ind w:firstLine="422" w:firstLineChars="200"/>
        <w:jc w:val="left"/>
        <w:rPr>
          <w:rFonts w:ascii="宋体" w:hAnsi="宋体" w:cs="宋体"/>
          <w:b/>
          <w:szCs w:val="21"/>
        </w:rPr>
      </w:pPr>
      <w:r>
        <w:rPr>
          <w:rFonts w:hint="eastAsia" w:ascii="宋体" w:hAnsi="宋体" w:cs="宋体"/>
          <w:b/>
          <w:szCs w:val="21"/>
        </w:rPr>
        <w:t>2.1 投标（报价）函</w:t>
      </w:r>
    </w:p>
    <w:p w14:paraId="142F3F9E">
      <w:pPr>
        <w:adjustRightInd w:val="0"/>
        <w:snapToGrid w:val="0"/>
        <w:spacing w:line="360" w:lineRule="auto"/>
        <w:ind w:firstLine="420" w:firstLineChars="200"/>
        <w:rPr>
          <w:rFonts w:ascii="宋体" w:hAnsi="宋体" w:cs="宋体"/>
          <w:szCs w:val="21"/>
        </w:rPr>
      </w:pPr>
      <w:r>
        <w:rPr>
          <w:rFonts w:hint="eastAsia" w:ascii="宋体" w:hAnsi="宋体" w:cs="宋体"/>
          <w:szCs w:val="21"/>
          <w:lang w:bidi="ar"/>
        </w:rPr>
        <w:t xml:space="preserve"> </w:t>
      </w:r>
      <w:r>
        <w:rPr>
          <w:rFonts w:hint="eastAsia" w:ascii="宋体" w:hAnsi="宋体" w:cs="宋体"/>
          <w:szCs w:val="21"/>
          <w:u w:val="single"/>
          <w:lang w:bidi="ar"/>
        </w:rPr>
        <w:t>（采购人/采购代理机构）</w:t>
      </w:r>
      <w:r>
        <w:rPr>
          <w:rFonts w:hint="eastAsia" w:ascii="宋体" w:hAnsi="宋体" w:cs="宋体"/>
          <w:szCs w:val="21"/>
          <w:lang w:bidi="ar"/>
        </w:rPr>
        <w:t>：</w:t>
      </w:r>
    </w:p>
    <w:p w14:paraId="33C03CF9">
      <w:pPr>
        <w:autoSpaceDE w:val="0"/>
        <w:autoSpaceDN w:val="0"/>
        <w:snapToGrid w:val="0"/>
        <w:spacing w:line="360" w:lineRule="auto"/>
        <w:ind w:firstLine="420" w:firstLineChars="200"/>
        <w:rPr>
          <w:rFonts w:ascii="宋体" w:hAnsi="宋体" w:cs="宋体"/>
          <w:szCs w:val="21"/>
          <w:u w:val="single"/>
        </w:rPr>
      </w:pPr>
      <w:r>
        <w:rPr>
          <w:rFonts w:hint="eastAsia" w:ascii="宋体" w:hAnsi="宋体" w:cs="宋体"/>
          <w:kern w:val="0"/>
          <w:szCs w:val="21"/>
          <w:lang w:bidi="ar"/>
        </w:rPr>
        <w:t>依据贵方</w:t>
      </w:r>
      <w:r>
        <w:rPr>
          <w:rFonts w:hint="eastAsia" w:ascii="宋体" w:hAnsi="宋体" w:cs="宋体"/>
          <w:szCs w:val="21"/>
          <w:u w:val="single"/>
          <w:lang w:bidi="ar"/>
        </w:rPr>
        <w:t>（采购项目名称：           、采购项目编号：        ）</w:t>
      </w:r>
      <w:r>
        <w:rPr>
          <w:rFonts w:hint="eastAsia" w:ascii="宋体" w:hAnsi="宋体" w:cs="宋体"/>
          <w:kern w:val="0"/>
          <w:szCs w:val="21"/>
          <w:lang w:bidi="ar"/>
        </w:rPr>
        <w:t>采购货物及服务的投标邀请，我方代表</w:t>
      </w:r>
      <w:r>
        <w:rPr>
          <w:rFonts w:hint="eastAsia" w:ascii="宋体" w:hAnsi="宋体" w:cs="宋体"/>
          <w:szCs w:val="21"/>
          <w:u w:val="single"/>
          <w:lang w:bidi="ar"/>
        </w:rPr>
        <w:t>（姓名、职务）</w:t>
      </w:r>
      <w:r>
        <w:rPr>
          <w:rFonts w:hint="eastAsia" w:ascii="宋体" w:hAnsi="宋体" w:cs="宋体"/>
          <w:kern w:val="0"/>
          <w:szCs w:val="21"/>
          <w:lang w:bidi="ar"/>
        </w:rPr>
        <w:t>经正式授权并代表</w:t>
      </w:r>
      <w:r>
        <w:rPr>
          <w:rFonts w:hint="eastAsia" w:ascii="宋体" w:hAnsi="宋体" w:cs="宋体"/>
          <w:szCs w:val="21"/>
          <w:u w:val="single"/>
          <w:lang w:bidi="ar"/>
        </w:rPr>
        <w:t>（投标人名称、地址）</w:t>
      </w:r>
      <w:r>
        <w:rPr>
          <w:rFonts w:hint="eastAsia" w:ascii="宋体" w:hAnsi="宋体" w:cs="宋体"/>
          <w:kern w:val="0"/>
          <w:szCs w:val="21"/>
          <w:lang w:bidi="ar"/>
        </w:rPr>
        <w:t>提交电子投标文件</w:t>
      </w:r>
      <w:r>
        <w:rPr>
          <w:rFonts w:hint="eastAsia" w:ascii="宋体" w:hAnsi="宋体" w:cs="宋体"/>
          <w:kern w:val="0"/>
          <w:szCs w:val="21"/>
          <w:u w:val="single"/>
          <w:lang w:bidi="ar"/>
        </w:rPr>
        <w:t xml:space="preserve"> 1 </w:t>
      </w:r>
      <w:r>
        <w:rPr>
          <w:rFonts w:hint="eastAsia" w:ascii="宋体" w:hAnsi="宋体" w:cs="宋体"/>
          <w:kern w:val="0"/>
          <w:szCs w:val="21"/>
          <w:lang w:bidi="ar"/>
        </w:rPr>
        <w:t>份。</w:t>
      </w:r>
    </w:p>
    <w:p w14:paraId="610E9B28">
      <w:pPr>
        <w:pStyle w:val="16"/>
        <w:widowControl/>
        <w:spacing w:line="360" w:lineRule="auto"/>
        <w:ind w:firstLine="480"/>
        <w:jc w:val="left"/>
        <w:rPr>
          <w:rFonts w:ascii="宋体" w:hAnsi="宋体" w:cs="宋体"/>
          <w:kern w:val="0"/>
          <w:sz w:val="21"/>
          <w:szCs w:val="21"/>
        </w:rPr>
      </w:pPr>
      <w:r>
        <w:rPr>
          <w:rFonts w:hint="eastAsia" w:ascii="宋体" w:hAnsi="宋体" w:cs="宋体"/>
          <w:kern w:val="0"/>
          <w:sz w:val="21"/>
          <w:szCs w:val="21"/>
          <w:lang w:bidi="a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14:paraId="15B2C56A">
      <w:pPr>
        <w:pStyle w:val="16"/>
        <w:widowControl/>
        <w:spacing w:line="360" w:lineRule="auto"/>
        <w:ind w:firstLine="480"/>
        <w:jc w:val="left"/>
        <w:rPr>
          <w:rFonts w:ascii="宋体" w:hAnsi="宋体" w:cs="宋体"/>
          <w:kern w:val="0"/>
          <w:sz w:val="21"/>
          <w:szCs w:val="21"/>
        </w:rPr>
      </w:pPr>
      <w:r>
        <w:rPr>
          <w:rFonts w:hint="eastAsia" w:ascii="宋体" w:hAnsi="宋体" w:cs="宋体"/>
          <w:kern w:val="0"/>
          <w:sz w:val="21"/>
          <w:szCs w:val="21"/>
          <w:u w:val="single"/>
          <w:lang w:bidi="ar"/>
        </w:rPr>
        <w:t>(投标人名称)</w:t>
      </w:r>
      <w:r>
        <w:rPr>
          <w:rFonts w:hint="eastAsia" w:ascii="宋体" w:hAnsi="宋体" w:cs="宋体"/>
          <w:kern w:val="0"/>
          <w:sz w:val="21"/>
          <w:szCs w:val="21"/>
          <w:lang w:bidi="ar"/>
        </w:rPr>
        <w:t>作为投标人正式授权</w:t>
      </w:r>
      <w:r>
        <w:rPr>
          <w:rFonts w:hint="eastAsia" w:ascii="宋体" w:hAnsi="宋体" w:cs="宋体"/>
          <w:kern w:val="0"/>
          <w:sz w:val="21"/>
          <w:szCs w:val="21"/>
          <w:u w:val="single"/>
          <w:lang w:bidi="ar"/>
        </w:rPr>
        <w:t>(授权代表全名,职务)</w:t>
      </w:r>
      <w:r>
        <w:rPr>
          <w:rFonts w:hint="eastAsia" w:ascii="宋体" w:hAnsi="宋体" w:cs="宋体"/>
          <w:kern w:val="0"/>
          <w:sz w:val="21"/>
          <w:szCs w:val="21"/>
          <w:lang w:bidi="ar"/>
        </w:rPr>
        <w:t>代表我方全权处理有关本投标的一切事宜。</w:t>
      </w:r>
    </w:p>
    <w:p w14:paraId="69100D30">
      <w:pPr>
        <w:pStyle w:val="16"/>
        <w:widowControl/>
        <w:spacing w:line="360" w:lineRule="auto"/>
        <w:ind w:firstLine="480"/>
        <w:jc w:val="left"/>
        <w:rPr>
          <w:rFonts w:ascii="宋体" w:hAnsi="宋体" w:cs="宋体"/>
          <w:kern w:val="0"/>
          <w:sz w:val="21"/>
          <w:szCs w:val="21"/>
        </w:rPr>
      </w:pPr>
      <w:r>
        <w:rPr>
          <w:rFonts w:hint="eastAsia" w:ascii="宋体" w:hAnsi="宋体" w:cs="宋体"/>
          <w:kern w:val="0"/>
          <w:sz w:val="21"/>
          <w:szCs w:val="21"/>
          <w:lang w:bidi="ar"/>
        </w:rPr>
        <w:t>我方已完全明白招标文件的所有条款要求，并申明如下：</w:t>
      </w:r>
    </w:p>
    <w:p w14:paraId="4ECC01FA">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 xml:space="preserve"> （一）按招标文件提供的全部货物与相关服务的投标总价详见《开标一览表》。</w:t>
      </w:r>
    </w:p>
    <w:p w14:paraId="201C9EBC">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3A3E89E6">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 xml:space="preserve"> （三）我方明白并同意，在规定的开标日之后，投标有效期之内撤销投标或中标后不按规定与采购人签订合同或不提交履约保证金, 则贵方将不予退还投标保证金。</w:t>
      </w:r>
    </w:p>
    <w:p w14:paraId="56D982D7">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 xml:space="preserve"> （四）我方愿意向贵方提供任何与本项报价有关的数据、情况和技术资料。若贵方需要，我方愿意提供我方作出的一切承诺的证明材料。</w:t>
      </w:r>
    </w:p>
    <w:p w14:paraId="2B0F8CC4">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 xml:space="preserve"> （五）我方理解贵方不一定接受最低投标价或任何贵方可能收到的投标。</w:t>
      </w:r>
    </w:p>
    <w:p w14:paraId="4EC710CB">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 xml:space="preserve"> （六）我方如果中标，将保证履行招标（采购）文件及其澄清、修改文件（如果有）以及投标（响应）文件中的全部责任和义务，按质、按量、按期完成《合同书》中的全部任务。</w:t>
      </w:r>
    </w:p>
    <w:p w14:paraId="0AFDE757">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 xml:space="preserve"> （七）我方作为法律、财务和运作上独立于采购人、采购代理机构的投标人，在此保证所提交的所有文件和全部说明是真实的和正确的。</w:t>
      </w:r>
    </w:p>
    <w:p w14:paraId="149FB9D8">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 xml:space="preserve"> （八）我方投标报价已包含应向知识产权所有权人支付的所有相关税费，并保证采购人在中国使用我方提供的标的时，如有第三方提出侵犯其知识产权主张的，责任由我方承担。</w:t>
      </w:r>
    </w:p>
    <w:p w14:paraId="270E3B8F">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 xml:space="preserve"> （九）我方接受采购人委托向贵方支付代理服务费，项目总报价已包含代理服务费，如果被确定为中标人，承诺向贵方足额支付。（若采购人支付代理服务费，则此条不适用）</w:t>
      </w:r>
    </w:p>
    <w:p w14:paraId="33EB7955">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 xml:space="preserve"> （十）我方与其他投标人不存在单位负责人为同一人或者存在直接控股、管理关系。</w:t>
      </w:r>
    </w:p>
    <w:p w14:paraId="149C26ED">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 xml:space="preserve"> （十一）投标人未存在《政府采购法实施条例》第十八条第二款规定的情形：</w:t>
      </w:r>
    </w:p>
    <w:p w14:paraId="435A0C72">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（1）对于除整体设计、规范编制或者项目管理、监理、检测等服务以外的采购项目:即未为本项目提供整体设计、规范编制或者项目管理、监理、检测等服务；</w:t>
      </w:r>
    </w:p>
    <w:p w14:paraId="0404DFE8">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（2）对于整体设计、规范编制或者项目管理、监理、检测等服务的项目:即未成为本项目除前期整体设计、规范编制或者项目管理、监理、检测等服务以外的其它采购活动中标商(或成交商)；</w:t>
      </w:r>
    </w:p>
    <w:p w14:paraId="6270868D">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（3）对于设计施工一体化的项目:即未为本项目提供规范编制或者项目管理、监理、检测等服务。</w:t>
      </w:r>
    </w:p>
    <w:p w14:paraId="2ABE4454">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（十二）我方承诺遵守《中华人民共和国民法典》有关规定和《中华人民共和国妇女权益保障法》中关于“劳动和社会保障权益”的有关要求。</w:t>
      </w:r>
    </w:p>
    <w:p w14:paraId="02FB50C9">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（十三）我方具备《中华人民共和国政府采购法》第二十二条规定的条件，声明如下：</w:t>
      </w:r>
    </w:p>
    <w:p w14:paraId="6B2230A7">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64EE4E55">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（2）我方符合法律、行政法规规定的其他条件。</w:t>
      </w:r>
    </w:p>
    <w:p w14:paraId="084B9E65">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711C7685">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 xml:space="preserve"> （十五）我方对在本函及投标文件中所作的所有承诺承担法律责任。</w:t>
      </w:r>
    </w:p>
    <w:p w14:paraId="6FD0E5FF">
      <w:pPr>
        <w:pStyle w:val="16"/>
        <w:widowControl/>
        <w:spacing w:line="360" w:lineRule="auto"/>
        <w:ind w:firstLine="480"/>
        <w:jc w:val="left"/>
        <w:rPr>
          <w:rFonts w:ascii="宋体" w:hAnsi="宋体" w:cs="宋体"/>
          <w:kern w:val="0"/>
          <w:sz w:val="21"/>
          <w:szCs w:val="21"/>
          <w:lang w:bidi="ar"/>
        </w:rPr>
      </w:pPr>
      <w:r>
        <w:rPr>
          <w:rFonts w:hint="eastAsia" w:ascii="宋体" w:hAnsi="宋体" w:cs="宋体"/>
          <w:kern w:val="0"/>
          <w:sz w:val="21"/>
          <w:szCs w:val="21"/>
          <w:lang w:bidi="ar"/>
        </w:rPr>
        <w:t>（十六）以上内容如有虚假或与事实不符的，评标委员会可将我方做无效投标处理，我方愿意承担相应的法律责任。</w:t>
      </w:r>
    </w:p>
    <w:p w14:paraId="463396CC">
      <w:pPr>
        <w:pStyle w:val="16"/>
        <w:widowControl/>
        <w:spacing w:line="360" w:lineRule="auto"/>
        <w:ind w:firstLine="480"/>
        <w:jc w:val="left"/>
        <w:rPr>
          <w:rFonts w:ascii="宋体" w:hAnsi="宋体" w:cs="宋体"/>
          <w:kern w:val="0"/>
          <w:sz w:val="21"/>
          <w:szCs w:val="21"/>
        </w:rPr>
      </w:pPr>
      <w:r>
        <w:rPr>
          <w:rFonts w:hint="eastAsia" w:ascii="宋体" w:hAnsi="宋体" w:cs="宋体"/>
          <w:kern w:val="0"/>
          <w:sz w:val="21"/>
          <w:szCs w:val="21"/>
          <w:lang w:bidi="ar"/>
        </w:rPr>
        <w:t>（十七）所有与本招标有关的函件请发往下列地址：</w:t>
      </w:r>
    </w:p>
    <w:p w14:paraId="7F234D4F">
      <w:pPr>
        <w:pStyle w:val="16"/>
        <w:widowControl/>
        <w:spacing w:line="360" w:lineRule="auto"/>
        <w:jc w:val="left"/>
        <w:rPr>
          <w:rFonts w:ascii="宋体" w:hAnsi="宋体" w:cs="宋体"/>
          <w:kern w:val="0"/>
          <w:sz w:val="21"/>
          <w:szCs w:val="21"/>
        </w:rPr>
      </w:pPr>
      <w:r>
        <w:rPr>
          <w:rFonts w:hint="eastAsia" w:ascii="宋体" w:hAnsi="宋体" w:cs="宋体"/>
          <w:kern w:val="0"/>
          <w:sz w:val="21"/>
          <w:szCs w:val="21"/>
          <w:lang w:bidi="ar"/>
        </w:rPr>
        <w:t xml:space="preserve"> 地 址：__________________邮政编码：__________________</w:t>
      </w:r>
    </w:p>
    <w:p w14:paraId="23FF2426">
      <w:pPr>
        <w:pStyle w:val="16"/>
        <w:widowControl/>
        <w:spacing w:line="360" w:lineRule="auto"/>
        <w:jc w:val="left"/>
        <w:rPr>
          <w:rFonts w:ascii="宋体" w:hAnsi="宋体" w:cs="宋体"/>
          <w:kern w:val="0"/>
          <w:sz w:val="21"/>
          <w:szCs w:val="21"/>
        </w:rPr>
      </w:pPr>
      <w:r>
        <w:rPr>
          <w:rFonts w:hint="eastAsia" w:ascii="宋体" w:hAnsi="宋体" w:cs="宋体"/>
          <w:kern w:val="0"/>
          <w:sz w:val="21"/>
          <w:szCs w:val="21"/>
          <w:lang w:bidi="ar"/>
        </w:rPr>
        <w:t xml:space="preserve"> 电 话：__________________</w:t>
      </w:r>
    </w:p>
    <w:p w14:paraId="18900A0E">
      <w:pPr>
        <w:pStyle w:val="16"/>
        <w:widowControl/>
        <w:spacing w:line="360" w:lineRule="auto"/>
        <w:jc w:val="left"/>
        <w:rPr>
          <w:rFonts w:ascii="宋体" w:hAnsi="宋体" w:cs="宋体"/>
          <w:kern w:val="0"/>
          <w:sz w:val="21"/>
          <w:szCs w:val="21"/>
        </w:rPr>
      </w:pPr>
      <w:r>
        <w:rPr>
          <w:rFonts w:hint="eastAsia" w:ascii="宋体" w:hAnsi="宋体" w:cs="宋体"/>
          <w:kern w:val="0"/>
          <w:sz w:val="21"/>
          <w:szCs w:val="21"/>
          <w:lang w:bidi="ar"/>
        </w:rPr>
        <w:t xml:space="preserve"> 传 真：__________________电子邮箱：__________________</w:t>
      </w:r>
    </w:p>
    <w:p w14:paraId="40584BFB">
      <w:pPr>
        <w:pStyle w:val="16"/>
        <w:widowControl/>
        <w:spacing w:line="360" w:lineRule="auto"/>
        <w:jc w:val="left"/>
        <w:rPr>
          <w:rFonts w:ascii="宋体" w:hAnsi="宋体" w:cs="宋体"/>
          <w:kern w:val="0"/>
          <w:sz w:val="21"/>
          <w:szCs w:val="21"/>
        </w:rPr>
      </w:pPr>
      <w:r>
        <w:rPr>
          <w:rFonts w:hint="eastAsia" w:ascii="宋体" w:hAnsi="宋体" w:cs="宋体"/>
          <w:kern w:val="0"/>
          <w:sz w:val="21"/>
          <w:szCs w:val="21"/>
          <w:lang w:bidi="ar"/>
        </w:rPr>
        <w:t xml:space="preserve"> 代表姓名：__________________职 务：__________________</w:t>
      </w:r>
    </w:p>
    <w:p w14:paraId="6FD5269B">
      <w:pPr>
        <w:pStyle w:val="16"/>
        <w:widowControl/>
        <w:spacing w:line="360" w:lineRule="auto"/>
        <w:jc w:val="left"/>
        <w:rPr>
          <w:rFonts w:ascii="宋体" w:hAnsi="宋体" w:cs="宋体"/>
          <w:kern w:val="0"/>
          <w:sz w:val="21"/>
          <w:szCs w:val="21"/>
          <w:lang w:bidi="ar"/>
        </w:rPr>
      </w:pPr>
      <w:r>
        <w:rPr>
          <w:rFonts w:hint="eastAsia" w:ascii="宋体" w:hAnsi="宋体" w:cs="宋体"/>
          <w:kern w:val="0"/>
          <w:sz w:val="21"/>
          <w:szCs w:val="21"/>
          <w:lang w:bidi="ar"/>
        </w:rPr>
        <w:t xml:space="preserve"> </w:t>
      </w:r>
    </w:p>
    <w:p w14:paraId="71A16A2B">
      <w:pPr>
        <w:pStyle w:val="16"/>
        <w:widowControl/>
        <w:spacing w:line="360" w:lineRule="auto"/>
        <w:jc w:val="left"/>
        <w:rPr>
          <w:rFonts w:ascii="宋体" w:hAnsi="宋体" w:cs="宋体"/>
          <w:kern w:val="0"/>
          <w:sz w:val="21"/>
          <w:szCs w:val="21"/>
          <w:lang w:bidi="ar"/>
        </w:rPr>
      </w:pPr>
    </w:p>
    <w:p w14:paraId="06192BB7">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投标人法定代表人（或投标人授权代表）签字或盖章：</w:t>
      </w:r>
      <w:r>
        <w:rPr>
          <w:rFonts w:hint="eastAsia" w:ascii="宋体" w:hAnsi="宋体" w:cs="宋体"/>
          <w:szCs w:val="21"/>
          <w:u w:val="single"/>
        </w:rPr>
        <w:t xml:space="preserve">               </w:t>
      </w:r>
    </w:p>
    <w:p w14:paraId="697C2852">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投标人名称（盖章）：</w:t>
      </w:r>
      <w:r>
        <w:rPr>
          <w:rFonts w:hint="eastAsia" w:ascii="宋体" w:hAnsi="宋体" w:cs="宋体"/>
          <w:szCs w:val="21"/>
          <w:u w:val="single"/>
        </w:rPr>
        <w:t xml:space="preserve">                      </w:t>
      </w:r>
    </w:p>
    <w:p w14:paraId="6CFBDE3C">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D201067">
      <w:pPr>
        <w:autoSpaceDE w:val="0"/>
        <w:autoSpaceDN w:val="0"/>
        <w:adjustRightInd w:val="0"/>
        <w:snapToGrid w:val="0"/>
        <w:spacing w:line="360" w:lineRule="auto"/>
        <w:ind w:firstLine="420" w:firstLineChars="200"/>
        <w:rPr>
          <w:rFonts w:ascii="宋体" w:hAnsi="宋体" w:cs="宋体"/>
          <w:szCs w:val="21"/>
        </w:rPr>
      </w:pPr>
    </w:p>
    <w:p w14:paraId="2D8124F9">
      <w:pPr>
        <w:pageBreakBefore/>
        <w:adjustRightInd w:val="0"/>
        <w:snapToGrid w:val="0"/>
        <w:spacing w:line="360" w:lineRule="auto"/>
        <w:ind w:firstLine="422" w:firstLineChars="200"/>
        <w:rPr>
          <w:rFonts w:ascii="宋体" w:hAnsi="宋体" w:cs="宋体"/>
          <w:b/>
          <w:szCs w:val="21"/>
        </w:rPr>
      </w:pPr>
      <w:r>
        <w:rPr>
          <w:rFonts w:hint="eastAsia" w:ascii="宋体" w:hAnsi="宋体" w:cs="宋体"/>
          <w:b/>
          <w:szCs w:val="21"/>
        </w:rPr>
        <w:t>2.2法定代表人资格证明书及授权委托书</w:t>
      </w:r>
    </w:p>
    <w:p w14:paraId="6FA68AAB">
      <w:pPr>
        <w:spacing w:line="360" w:lineRule="auto"/>
        <w:ind w:firstLine="420" w:firstLineChars="200"/>
        <w:rPr>
          <w:rFonts w:ascii="宋体" w:hAnsi="宋体" w:cs="宋体"/>
          <w:szCs w:val="21"/>
        </w:rPr>
      </w:pPr>
      <w:r>
        <w:rPr>
          <w:rFonts w:hint="eastAsia" w:ascii="宋体" w:hAnsi="宋体" w:cs="宋体"/>
          <w:szCs w:val="21"/>
        </w:rPr>
        <w:t>（投标人可使用下述格式，也可使用广东省工商行政管理局统一印制的法定代表人证明书格式）</w:t>
      </w:r>
    </w:p>
    <w:p w14:paraId="76D8A4A9">
      <w:pPr>
        <w:snapToGrid w:val="0"/>
        <w:spacing w:line="360" w:lineRule="auto"/>
        <w:ind w:firstLine="422" w:firstLineChars="200"/>
        <w:jc w:val="center"/>
        <w:rPr>
          <w:rFonts w:ascii="宋体" w:hAnsi="宋体" w:cs="宋体"/>
          <w:b/>
          <w:szCs w:val="21"/>
        </w:rPr>
      </w:pPr>
    </w:p>
    <w:p w14:paraId="53AB099D">
      <w:pPr>
        <w:snapToGrid w:val="0"/>
        <w:spacing w:line="360" w:lineRule="auto"/>
        <w:ind w:firstLine="422" w:firstLineChars="200"/>
        <w:jc w:val="center"/>
        <w:rPr>
          <w:rFonts w:ascii="宋体" w:hAnsi="宋体" w:cs="宋体"/>
          <w:b/>
          <w:szCs w:val="21"/>
        </w:rPr>
      </w:pPr>
      <w:r>
        <w:rPr>
          <w:rFonts w:hint="eastAsia" w:ascii="宋体" w:hAnsi="宋体" w:cs="宋体"/>
          <w:b/>
          <w:szCs w:val="21"/>
        </w:rPr>
        <w:t>（1）法定代表人证明书</w:t>
      </w:r>
    </w:p>
    <w:p w14:paraId="23A7F959">
      <w:pPr>
        <w:snapToGrid w:val="0"/>
        <w:spacing w:line="360" w:lineRule="auto"/>
        <w:ind w:firstLine="367" w:firstLineChars="175"/>
        <w:rPr>
          <w:rFonts w:ascii="宋体" w:hAnsi="宋体" w:cs="宋体"/>
          <w:szCs w:val="21"/>
        </w:rPr>
      </w:pPr>
    </w:p>
    <w:p w14:paraId="1FB7F2CC">
      <w:pPr>
        <w:spacing w:line="360" w:lineRule="auto"/>
        <w:ind w:firstLine="367" w:firstLineChars="175"/>
        <w:rPr>
          <w:rFonts w:ascii="宋体" w:hAnsi="宋体" w:cs="宋体"/>
          <w:szCs w:val="21"/>
        </w:rPr>
      </w:pPr>
      <w:r>
        <w:rPr>
          <w:rFonts w:hint="eastAsia" w:ascii="宋体" w:hAnsi="宋体" w:cs="宋体"/>
          <w:szCs w:val="21"/>
          <w:lang w:bidi="ar"/>
        </w:rPr>
        <w:t>_____________现任我单位_____________职务，为法定代表人，特此证明。</w:t>
      </w:r>
    </w:p>
    <w:p w14:paraId="2B7520CE">
      <w:pPr>
        <w:spacing w:line="360" w:lineRule="auto"/>
        <w:ind w:firstLine="367" w:firstLineChars="175"/>
        <w:rPr>
          <w:rFonts w:ascii="宋体" w:hAnsi="宋体" w:cs="宋体"/>
          <w:szCs w:val="21"/>
        </w:rPr>
      </w:pPr>
      <w:r>
        <w:rPr>
          <w:rFonts w:hint="eastAsia" w:ascii="宋体" w:hAnsi="宋体" w:cs="宋体"/>
          <w:szCs w:val="21"/>
          <w:lang w:bidi="ar"/>
        </w:rPr>
        <w:t>有效期限：__________________</w:t>
      </w:r>
    </w:p>
    <w:p w14:paraId="3A923939">
      <w:pPr>
        <w:spacing w:line="360" w:lineRule="auto"/>
        <w:ind w:firstLine="367" w:firstLineChars="175"/>
        <w:rPr>
          <w:rFonts w:ascii="宋体" w:hAnsi="宋体" w:cs="宋体"/>
          <w:szCs w:val="21"/>
        </w:rPr>
      </w:pPr>
      <w:r>
        <w:rPr>
          <w:rFonts w:hint="eastAsia" w:ascii="宋体" w:hAnsi="宋体" w:cs="宋体"/>
          <w:szCs w:val="21"/>
          <w:lang w:bidi="ar"/>
        </w:rPr>
        <w:t>附：代表人性别：_____年龄：_________ 身份证号码：__________________</w:t>
      </w:r>
    </w:p>
    <w:p w14:paraId="68B9AD27">
      <w:pPr>
        <w:spacing w:line="360" w:lineRule="auto"/>
        <w:ind w:firstLine="367" w:firstLineChars="175"/>
        <w:rPr>
          <w:rFonts w:ascii="宋体" w:hAnsi="宋体" w:cs="宋体"/>
          <w:szCs w:val="21"/>
        </w:rPr>
      </w:pPr>
      <w:r>
        <w:rPr>
          <w:rFonts w:hint="eastAsia" w:ascii="宋体" w:hAnsi="宋体" w:cs="宋体"/>
          <w:szCs w:val="21"/>
          <w:lang w:bidi="ar"/>
        </w:rPr>
        <w:t>注册号码：____________________企业类型：____________________________</w:t>
      </w:r>
    </w:p>
    <w:p w14:paraId="77DC53E9">
      <w:pPr>
        <w:spacing w:line="360" w:lineRule="auto"/>
        <w:ind w:firstLine="367" w:firstLineChars="175"/>
        <w:rPr>
          <w:rFonts w:ascii="宋体" w:hAnsi="宋体" w:cs="宋体"/>
          <w:szCs w:val="21"/>
        </w:rPr>
      </w:pPr>
      <w:r>
        <w:rPr>
          <w:rFonts w:hint="eastAsia" w:ascii="宋体" w:hAnsi="宋体" w:cs="宋体"/>
          <w:szCs w:val="21"/>
          <w:lang w:bidi="ar"/>
        </w:rPr>
        <w:t>经营范围：__________________________</w:t>
      </w:r>
    </w:p>
    <w:p w14:paraId="79A4B76E">
      <w:pPr>
        <w:spacing w:line="360" w:lineRule="auto"/>
        <w:ind w:firstLine="367" w:firstLineChars="175"/>
        <w:rPr>
          <w:rFonts w:ascii="宋体" w:hAnsi="宋体" w:cs="宋体"/>
          <w:szCs w:val="21"/>
        </w:rPr>
      </w:pPr>
    </w:p>
    <w:p w14:paraId="37BA3144">
      <w:pPr>
        <w:spacing w:line="360" w:lineRule="auto"/>
        <w:ind w:firstLine="367" w:firstLineChars="175"/>
        <w:rPr>
          <w:rFonts w:ascii="宋体" w:hAnsi="宋体" w:cs="宋体"/>
          <w:szCs w:val="21"/>
        </w:rPr>
      </w:pPr>
    </w:p>
    <w:p w14:paraId="0A7445B8">
      <w:pPr>
        <w:spacing w:line="360" w:lineRule="auto"/>
        <w:ind w:firstLine="367" w:firstLineChars="175"/>
        <w:rPr>
          <w:rFonts w:ascii="宋体" w:hAnsi="宋体" w:cs="宋体"/>
          <w:szCs w:val="21"/>
        </w:rPr>
      </w:pPr>
      <w:r>
        <w:rPr>
          <w:rFonts w:hint="eastAsia" w:ascii="宋体" w:hAnsi="宋体" w:cs="宋体"/>
          <w:szCs w:val="21"/>
          <w:lang w:bidi="ar"/>
        </w:rPr>
        <w:t>投标人名称（盖章）：__________________</w:t>
      </w:r>
    </w:p>
    <w:p w14:paraId="1631285D">
      <w:pPr>
        <w:spacing w:line="360" w:lineRule="auto"/>
        <w:ind w:firstLine="367" w:firstLineChars="175"/>
        <w:rPr>
          <w:rFonts w:ascii="宋体" w:hAnsi="宋体" w:cs="宋体"/>
          <w:szCs w:val="21"/>
        </w:rPr>
      </w:pPr>
      <w:r>
        <w:rPr>
          <w:rFonts w:hint="eastAsia" w:ascii="宋体" w:hAnsi="宋体" w:cs="宋体"/>
          <w:szCs w:val="21"/>
          <w:lang w:bidi="ar"/>
        </w:rPr>
        <w:t>地址：__________________</w:t>
      </w:r>
    </w:p>
    <w:p w14:paraId="4182BA97">
      <w:pPr>
        <w:spacing w:line="360" w:lineRule="auto"/>
        <w:ind w:firstLine="367" w:firstLineChars="175"/>
        <w:rPr>
          <w:rFonts w:ascii="宋体" w:hAnsi="宋体" w:cs="宋体"/>
          <w:szCs w:val="21"/>
        </w:rPr>
      </w:pPr>
      <w:r>
        <w:rPr>
          <w:rFonts w:hint="eastAsia" w:ascii="宋体" w:hAnsi="宋体" w:cs="宋体"/>
          <w:szCs w:val="21"/>
          <w:lang w:bidi="ar"/>
        </w:rPr>
        <w:t>法定代表人（签字或盖章）：__________________</w:t>
      </w:r>
    </w:p>
    <w:p w14:paraId="6BB5B56C">
      <w:pPr>
        <w:spacing w:line="360" w:lineRule="auto"/>
        <w:ind w:firstLine="367" w:firstLineChars="175"/>
        <w:rPr>
          <w:rFonts w:ascii="宋体" w:hAnsi="宋体" w:cs="宋体"/>
          <w:szCs w:val="21"/>
        </w:rPr>
      </w:pPr>
      <w:r>
        <w:rPr>
          <w:rFonts w:hint="eastAsia" w:ascii="宋体" w:hAnsi="宋体" w:cs="宋体"/>
          <w:szCs w:val="21"/>
          <w:lang w:bidi="ar"/>
        </w:rPr>
        <w:t>职务：__________________</w:t>
      </w:r>
    </w:p>
    <w:p w14:paraId="31894D1D">
      <w:pPr>
        <w:spacing w:line="360" w:lineRule="auto"/>
        <w:ind w:firstLine="367" w:firstLineChars="175"/>
        <w:rPr>
          <w:rFonts w:ascii="宋体" w:hAnsi="宋体" w:cs="宋体"/>
          <w:szCs w:val="21"/>
        </w:rPr>
      </w:pPr>
      <w:r>
        <w:rPr>
          <w:rFonts w:hint="eastAsia" w:ascii="宋体" w:hAnsi="宋体" w:cs="宋体"/>
          <w:szCs w:val="21"/>
          <w:lang w:bidi="ar"/>
        </w:rPr>
        <w:t>日期： 年  月  日</w:t>
      </w:r>
    </w:p>
    <w:p w14:paraId="1F924E21">
      <w:pPr>
        <w:spacing w:line="360" w:lineRule="auto"/>
        <w:rPr>
          <w:rFonts w:ascii="宋体" w:hAnsi="宋体" w:cs="宋体"/>
          <w:b/>
          <w:szCs w:val="21"/>
        </w:rPr>
      </w:pPr>
    </w:p>
    <w:p w14:paraId="151AC9CE">
      <w:pPr>
        <w:spacing w:line="360" w:lineRule="auto"/>
        <w:ind w:firstLine="422" w:firstLineChars="200"/>
        <w:rPr>
          <w:rFonts w:ascii="宋体" w:hAnsi="宋体" w:cs="宋体"/>
          <w:b/>
          <w:szCs w:val="21"/>
        </w:rPr>
      </w:pPr>
    </w:p>
    <w:p w14:paraId="5ABAC537">
      <w:pPr>
        <w:spacing w:line="360" w:lineRule="auto"/>
        <w:rPr>
          <w:rFonts w:ascii="宋体" w:hAnsi="宋体" w:cs="宋体"/>
          <w:b/>
          <w:szCs w:val="21"/>
        </w:rPr>
      </w:pPr>
      <w:r>
        <w:rPr>
          <w:rFonts w:hint="eastAsia" w:ascii="宋体" w:hAnsi="宋体" w:cs="宋体"/>
          <w:b/>
          <w:szCs w:val="21"/>
        </w:rPr>
        <mc:AlternateContent>
          <mc:Choice Requires="wps">
            <w:drawing>
              <wp:anchor distT="0" distB="0" distL="114300" distR="114300" simplePos="0" relativeHeight="251659264" behindDoc="0" locked="0" layoutInCell="1" allowOverlap="1">
                <wp:simplePos x="0" y="0"/>
                <wp:positionH relativeFrom="column">
                  <wp:posOffset>3027680</wp:posOffset>
                </wp:positionH>
                <wp:positionV relativeFrom="paragraph">
                  <wp:posOffset>111760</wp:posOffset>
                </wp:positionV>
                <wp:extent cx="2724785" cy="2197735"/>
                <wp:effectExtent l="4445" t="4445" r="13970" b="7620"/>
                <wp:wrapNone/>
                <wp:docPr id="6" name="流程图: 可选过程 6"/>
                <wp:cNvGraphicFramePr/>
                <a:graphic xmlns:a="http://schemas.openxmlformats.org/drawingml/2006/main">
                  <a:graphicData uri="http://schemas.microsoft.com/office/word/2010/wordprocessingShape">
                    <wps:wsp>
                      <wps:cNvSpPr/>
                      <wps:spPr>
                        <a:xfrm>
                          <a:off x="0" y="0"/>
                          <a:ext cx="2724785" cy="21977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7F90909">
                            <w:pPr>
                              <w:jc w:val="center"/>
                              <w:rPr>
                                <w:rFonts w:ascii="Times New Roman" w:hAnsi="宋体"/>
                                <w:szCs w:val="21"/>
                              </w:rPr>
                            </w:pPr>
                          </w:p>
                          <w:p w14:paraId="2002325F">
                            <w:pPr>
                              <w:jc w:val="center"/>
                              <w:rPr>
                                <w:rFonts w:ascii="Times New Roman" w:hAnsi="宋体"/>
                                <w:szCs w:val="21"/>
                              </w:rPr>
                            </w:pPr>
                          </w:p>
                          <w:p w14:paraId="3628EEF1">
                            <w:pPr>
                              <w:jc w:val="center"/>
                              <w:rPr>
                                <w:rFonts w:ascii="Times New Roman" w:hAnsi="宋体"/>
                                <w:szCs w:val="21"/>
                              </w:rPr>
                            </w:pPr>
                          </w:p>
                          <w:p w14:paraId="4AFE13B6">
                            <w:pPr>
                              <w:jc w:val="center"/>
                              <w:rPr>
                                <w:rFonts w:ascii="Times New Roman" w:hAnsi="Times New Roman"/>
                                <w:szCs w:val="21"/>
                              </w:rPr>
                            </w:pPr>
                            <w:r>
                              <w:rPr>
                                <w:rFonts w:hint="eastAsia" w:ascii="Times New Roman"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8.4pt;margin-top:8.8pt;height:173.05pt;width:214.55pt;z-index:251659264;mso-width-relative:page;mso-height-relative:page;" fillcolor="#FFFFFF" filled="t" stroked="t" coordsize="21600,21600" o:gfxdata="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9aUaq1wAAAAoBAAAPAAAAAAAAAAEAIAAAACIAAABkcnMvZG93bnJldi54bWxQSwEC&#10;FAAUAAAACACHTuJAplhqxy4CAABeBAAADgAAAAAAAAABACAAAAAmAQAAZHJzL2Uyb0RvYy54bWxQ&#10;SwUGAAAAAAYABgBZAQAAxgUAAAAA&#10;">
                <v:fill on="t" focussize="0,0"/>
                <v:stroke color="#000000" joinstyle="miter"/>
                <v:imagedata o:title=""/>
                <o:lock v:ext="edit" aspectratio="f"/>
                <v:textbox>
                  <w:txbxContent>
                    <w:p w14:paraId="57F90909">
                      <w:pPr>
                        <w:jc w:val="center"/>
                        <w:rPr>
                          <w:rFonts w:ascii="Times New Roman" w:hAnsi="宋体"/>
                          <w:szCs w:val="21"/>
                        </w:rPr>
                      </w:pPr>
                    </w:p>
                    <w:p w14:paraId="2002325F">
                      <w:pPr>
                        <w:jc w:val="center"/>
                        <w:rPr>
                          <w:rFonts w:ascii="Times New Roman" w:hAnsi="宋体"/>
                          <w:szCs w:val="21"/>
                        </w:rPr>
                      </w:pPr>
                    </w:p>
                    <w:p w14:paraId="3628EEF1">
                      <w:pPr>
                        <w:jc w:val="center"/>
                        <w:rPr>
                          <w:rFonts w:ascii="Times New Roman" w:hAnsi="宋体"/>
                          <w:szCs w:val="21"/>
                        </w:rPr>
                      </w:pPr>
                    </w:p>
                    <w:p w14:paraId="4AFE13B6">
                      <w:pPr>
                        <w:jc w:val="center"/>
                        <w:rPr>
                          <w:rFonts w:ascii="Times New Roman" w:hAnsi="Times New Roman"/>
                          <w:szCs w:val="21"/>
                        </w:rPr>
                      </w:pPr>
                      <w:r>
                        <w:rPr>
                          <w:rFonts w:hint="eastAsia" w:ascii="Times New Roman" w:hAnsi="宋体"/>
                          <w:szCs w:val="21"/>
                        </w:rPr>
                        <w:t>法定代表人身份证复印件（反面）</w:t>
                      </w:r>
                    </w:p>
                  </w:txbxContent>
                </v:textbox>
              </v:shape>
            </w:pict>
          </mc:Fallback>
        </mc:AlternateContent>
      </w:r>
    </w:p>
    <w:p w14:paraId="1EAF1291">
      <w:pPr>
        <w:spacing w:line="360" w:lineRule="auto"/>
        <w:rPr>
          <w:rFonts w:ascii="宋体" w:hAnsi="宋体" w:cs="宋体"/>
          <w:b/>
          <w:szCs w:val="21"/>
        </w:rPr>
      </w:pPr>
    </w:p>
    <w:p w14:paraId="299EC951">
      <w:pPr>
        <w:spacing w:line="360" w:lineRule="auto"/>
        <w:rPr>
          <w:rFonts w:ascii="宋体" w:hAnsi="宋体" w:cs="宋体"/>
          <w:b/>
          <w:szCs w:val="21"/>
        </w:rPr>
      </w:pPr>
    </w:p>
    <w:p w14:paraId="33FB81BA">
      <w:pPr>
        <w:spacing w:line="360" w:lineRule="auto"/>
        <w:rPr>
          <w:rFonts w:ascii="宋体" w:hAnsi="宋体" w:cs="宋体"/>
          <w:b/>
          <w:szCs w:val="21"/>
        </w:rPr>
      </w:pPr>
    </w:p>
    <w:p w14:paraId="43086A7F">
      <w:pPr>
        <w:spacing w:line="360" w:lineRule="auto"/>
        <w:ind w:firstLine="422" w:firstLineChars="200"/>
        <w:jc w:val="center"/>
        <w:rPr>
          <w:rFonts w:ascii="宋体" w:hAnsi="宋体" w:cs="宋体"/>
          <w:b/>
          <w:szCs w:val="21"/>
        </w:rPr>
      </w:pPr>
      <w:r>
        <w:rPr>
          <w:rFonts w:hint="eastAsia" w:ascii="宋体" w:hAnsi="宋体" w:cs="宋体"/>
          <w:b/>
          <w:szCs w:val="21"/>
        </w:rPr>
        <mc:AlternateContent>
          <mc:Choice Requires="wps">
            <w:drawing>
              <wp:anchor distT="0" distB="0" distL="114300" distR="114300" simplePos="0" relativeHeight="251661312" behindDoc="0" locked="0" layoutInCell="1" allowOverlap="1">
                <wp:simplePos x="0" y="0"/>
                <wp:positionH relativeFrom="column">
                  <wp:posOffset>204470</wp:posOffset>
                </wp:positionH>
                <wp:positionV relativeFrom="paragraph">
                  <wp:posOffset>-1111885</wp:posOffset>
                </wp:positionV>
                <wp:extent cx="2724785" cy="2197735"/>
                <wp:effectExtent l="4445" t="4445" r="13970" b="7620"/>
                <wp:wrapNone/>
                <wp:docPr id="7" name="流程图: 可选过程 7"/>
                <wp:cNvGraphicFramePr/>
                <a:graphic xmlns:a="http://schemas.openxmlformats.org/drawingml/2006/main">
                  <a:graphicData uri="http://schemas.microsoft.com/office/word/2010/wordprocessingShape">
                    <wps:wsp>
                      <wps:cNvSpPr/>
                      <wps:spPr>
                        <a:xfrm>
                          <a:off x="0" y="0"/>
                          <a:ext cx="2724785" cy="21977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53E6AE0">
                            <w:pPr>
                              <w:jc w:val="center"/>
                              <w:rPr>
                                <w:rFonts w:ascii="Times New Roman" w:hAnsi="宋体"/>
                                <w:szCs w:val="21"/>
                              </w:rPr>
                            </w:pPr>
                          </w:p>
                          <w:p w14:paraId="453540CD">
                            <w:pPr>
                              <w:jc w:val="center"/>
                              <w:rPr>
                                <w:rFonts w:ascii="Times New Roman" w:hAnsi="宋体"/>
                                <w:szCs w:val="21"/>
                              </w:rPr>
                            </w:pPr>
                          </w:p>
                          <w:p w14:paraId="3C62E784">
                            <w:pPr>
                              <w:jc w:val="center"/>
                              <w:rPr>
                                <w:rFonts w:ascii="Times New Roman" w:hAnsi="宋体"/>
                                <w:szCs w:val="21"/>
                              </w:rPr>
                            </w:pPr>
                          </w:p>
                          <w:p w14:paraId="4ABB02EF">
                            <w:pPr>
                              <w:jc w:val="center"/>
                              <w:rPr>
                                <w:rFonts w:ascii="Times New Roman" w:hAnsi="Times New Roman"/>
                                <w:szCs w:val="21"/>
                              </w:rPr>
                            </w:pPr>
                            <w:r>
                              <w:rPr>
                                <w:rFonts w:hint="eastAsia" w:ascii="Times New Roman"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6.1pt;margin-top:-87.55pt;height:173.05pt;width:214.55pt;z-index:251661312;mso-width-relative:page;mso-height-relative:page;" fillcolor="#FFFFFF" filled="t" stroked="t" coordsize="21600,21600" o:gfxdata="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BdBF3ZAAAACwEAAA8AAAAAAAAAAQAgAAAAIgAAAGRycy9kb3ducmV2LnhtbFBL&#10;AQIUABQAAAAIAIdO4kCbQzT3LgIAAF4EAAAOAAAAAAAAAAEAIAAAACgBAABkcnMvZTJvRG9jLnht&#10;bFBLBQYAAAAABgAGAFkBAADIBQAAAAA=&#10;">
                <v:fill on="t" focussize="0,0"/>
                <v:stroke color="#000000" joinstyle="miter"/>
                <v:imagedata o:title=""/>
                <o:lock v:ext="edit" aspectratio="f"/>
                <v:textbox>
                  <w:txbxContent>
                    <w:p w14:paraId="753E6AE0">
                      <w:pPr>
                        <w:jc w:val="center"/>
                        <w:rPr>
                          <w:rFonts w:ascii="Times New Roman" w:hAnsi="宋体"/>
                          <w:szCs w:val="21"/>
                        </w:rPr>
                      </w:pPr>
                    </w:p>
                    <w:p w14:paraId="453540CD">
                      <w:pPr>
                        <w:jc w:val="center"/>
                        <w:rPr>
                          <w:rFonts w:ascii="Times New Roman" w:hAnsi="宋体"/>
                          <w:szCs w:val="21"/>
                        </w:rPr>
                      </w:pPr>
                    </w:p>
                    <w:p w14:paraId="3C62E784">
                      <w:pPr>
                        <w:jc w:val="center"/>
                        <w:rPr>
                          <w:rFonts w:ascii="Times New Roman" w:hAnsi="宋体"/>
                          <w:szCs w:val="21"/>
                        </w:rPr>
                      </w:pPr>
                    </w:p>
                    <w:p w14:paraId="4ABB02EF">
                      <w:pPr>
                        <w:jc w:val="center"/>
                        <w:rPr>
                          <w:rFonts w:ascii="Times New Roman" w:hAnsi="Times New Roman"/>
                          <w:szCs w:val="21"/>
                        </w:rPr>
                      </w:pPr>
                      <w:r>
                        <w:rPr>
                          <w:rFonts w:hint="eastAsia" w:ascii="Times New Roman" w:hAnsi="宋体"/>
                          <w:szCs w:val="21"/>
                        </w:rPr>
                        <w:t>法定代表人身份证复印件（正面）</w:t>
                      </w:r>
                    </w:p>
                  </w:txbxContent>
                </v:textbox>
              </v:shape>
            </w:pict>
          </mc:Fallback>
        </mc:AlternateContent>
      </w:r>
      <w:r>
        <w:rPr>
          <w:rFonts w:hint="eastAsia" w:ascii="宋体" w:hAnsi="宋体" w:cs="宋体"/>
          <w:b/>
          <w:szCs w:val="21"/>
        </w:rPr>
        <w:br w:type="page"/>
      </w:r>
      <w:r>
        <w:rPr>
          <w:rFonts w:hint="eastAsia" w:ascii="宋体" w:hAnsi="宋体" w:cs="宋体"/>
          <w:b/>
          <w:szCs w:val="21"/>
        </w:rPr>
        <w:t>（2）法定代表人授权书</w:t>
      </w:r>
    </w:p>
    <w:p w14:paraId="64B046E6">
      <w:pPr>
        <w:spacing w:line="360" w:lineRule="auto"/>
        <w:ind w:firstLine="420" w:firstLineChars="200"/>
        <w:rPr>
          <w:rFonts w:ascii="宋体" w:hAnsi="宋体" w:cs="宋体"/>
          <w:szCs w:val="21"/>
        </w:rPr>
      </w:pPr>
      <w:r>
        <w:rPr>
          <w:rFonts w:hint="eastAsia" w:ascii="宋体" w:hAnsi="宋体" w:cs="宋体"/>
          <w:szCs w:val="21"/>
          <w:lang w:bidi="ar"/>
        </w:rPr>
        <w:t>（对于银行、保险、电信、邮政、铁路等行业以及获得总公司投标授权的分公司，可以提供投标分支机构负责人授权书）</w:t>
      </w:r>
    </w:p>
    <w:p w14:paraId="49EE8A18">
      <w:pPr>
        <w:spacing w:line="360" w:lineRule="auto"/>
        <w:ind w:firstLine="422" w:firstLineChars="200"/>
        <w:jc w:val="center"/>
        <w:rPr>
          <w:rFonts w:ascii="宋体" w:hAnsi="宋体" w:cs="宋体"/>
          <w:szCs w:val="21"/>
        </w:rPr>
      </w:pPr>
      <w:r>
        <w:rPr>
          <w:rFonts w:hint="eastAsia" w:ascii="宋体" w:hAnsi="宋体" w:cs="宋体"/>
          <w:b/>
          <w:szCs w:val="21"/>
          <w:lang w:bidi="ar"/>
        </w:rPr>
        <w:t>法定代表人授权书</w:t>
      </w:r>
    </w:p>
    <w:p w14:paraId="486C5160">
      <w:pPr>
        <w:spacing w:line="360" w:lineRule="auto"/>
        <w:rPr>
          <w:rFonts w:ascii="宋体" w:hAnsi="宋体" w:cs="宋体"/>
          <w:szCs w:val="21"/>
        </w:rPr>
      </w:pPr>
      <w:r>
        <w:rPr>
          <w:rFonts w:hint="eastAsia" w:ascii="宋体" w:hAnsi="宋体" w:cs="宋体"/>
          <w:szCs w:val="21"/>
          <w:lang w:bidi="ar"/>
        </w:rPr>
        <w:t>致：（采购人/采购代理机构）</w:t>
      </w:r>
    </w:p>
    <w:p w14:paraId="6D438B5B">
      <w:pPr>
        <w:spacing w:line="360" w:lineRule="auto"/>
        <w:ind w:firstLine="420" w:firstLineChars="200"/>
        <w:rPr>
          <w:rFonts w:ascii="宋体" w:hAnsi="宋体" w:cs="宋体"/>
          <w:szCs w:val="21"/>
        </w:rPr>
      </w:pPr>
      <w:r>
        <w:rPr>
          <w:rFonts w:hint="eastAsia" w:ascii="宋体" w:hAnsi="宋体" w:cs="宋体"/>
          <w:szCs w:val="21"/>
          <w:lang w:bidi="ar"/>
        </w:rPr>
        <w:t>本授权书声明：________是注册于</w:t>
      </w:r>
      <w:r>
        <w:rPr>
          <w:rFonts w:hint="eastAsia" w:ascii="宋体" w:hAnsi="宋体" w:cs="宋体"/>
          <w:szCs w:val="21"/>
          <w:u w:val="single"/>
          <w:lang w:bidi="ar"/>
        </w:rPr>
        <w:t>（国家或地区）</w:t>
      </w:r>
      <w:r>
        <w:rPr>
          <w:rFonts w:hint="eastAsia" w:ascii="宋体" w:hAnsi="宋体" w:cs="宋体"/>
          <w:szCs w:val="21"/>
          <w:lang w:bidi="ar"/>
        </w:rPr>
        <w:t>的</w:t>
      </w:r>
      <w:r>
        <w:rPr>
          <w:rFonts w:hint="eastAsia" w:ascii="宋体" w:hAnsi="宋体" w:cs="宋体"/>
          <w:szCs w:val="21"/>
          <w:u w:val="single"/>
          <w:lang w:bidi="ar"/>
        </w:rPr>
        <w:t>（投标人名称）</w:t>
      </w:r>
      <w:r>
        <w:rPr>
          <w:rFonts w:hint="eastAsia" w:ascii="宋体" w:hAnsi="宋体" w:cs="宋体"/>
          <w:szCs w:val="21"/>
          <w:lang w:bidi="ar"/>
        </w:rPr>
        <w:t>的法定代表人，现任________职务，有效证件号码：________________。现授权</w:t>
      </w:r>
      <w:r>
        <w:rPr>
          <w:rFonts w:hint="eastAsia" w:ascii="宋体" w:hAnsi="宋体" w:cs="宋体"/>
          <w:szCs w:val="21"/>
          <w:u w:val="single"/>
          <w:lang w:bidi="ar"/>
        </w:rPr>
        <w:t>（姓名、职务）</w:t>
      </w:r>
      <w:r>
        <w:rPr>
          <w:rFonts w:hint="eastAsia" w:ascii="宋体" w:hAnsi="宋体" w:cs="宋体"/>
          <w:szCs w:val="21"/>
          <w:lang w:bidi="ar"/>
        </w:rPr>
        <w:t>作为我公司的全权代理人，就“</w:t>
      </w:r>
      <w:r>
        <w:rPr>
          <w:rFonts w:hint="eastAsia" w:ascii="宋体" w:hAnsi="宋体" w:cs="宋体"/>
          <w:szCs w:val="21"/>
          <w:u w:val="single"/>
          <w:lang w:bidi="ar"/>
        </w:rPr>
        <w:t xml:space="preserve">        </w:t>
      </w:r>
      <w:r>
        <w:rPr>
          <w:rFonts w:hint="eastAsia" w:ascii="宋体" w:hAnsi="宋体" w:cs="宋体"/>
          <w:szCs w:val="21"/>
          <w:lang w:bidi="ar"/>
        </w:rPr>
        <w:t>”项目采购[采购项目编号为</w:t>
      </w:r>
      <w:r>
        <w:rPr>
          <w:rFonts w:hint="eastAsia" w:ascii="宋体" w:hAnsi="宋体" w:cs="宋体"/>
          <w:szCs w:val="21"/>
          <w:u w:val="single"/>
          <w:lang w:bidi="ar"/>
        </w:rPr>
        <w:t xml:space="preserve">        </w:t>
      </w:r>
      <w:r>
        <w:rPr>
          <w:rFonts w:hint="eastAsia" w:ascii="宋体" w:hAnsi="宋体" w:cs="宋体"/>
          <w:szCs w:val="21"/>
          <w:lang w:bidi="ar"/>
        </w:rPr>
        <w:t>]的投标和合同执行，以我方的名义处理一切与之有关的事宜。</w:t>
      </w:r>
    </w:p>
    <w:p w14:paraId="58CD9375">
      <w:pPr>
        <w:spacing w:line="360" w:lineRule="auto"/>
        <w:ind w:firstLine="420" w:firstLineChars="200"/>
        <w:rPr>
          <w:rFonts w:ascii="宋体" w:hAnsi="宋体" w:cs="宋体"/>
          <w:szCs w:val="21"/>
        </w:rPr>
      </w:pPr>
      <w:r>
        <w:rPr>
          <w:rFonts w:hint="eastAsia" w:ascii="宋体" w:hAnsi="宋体" w:cs="宋体"/>
          <w:szCs w:val="21"/>
          <w:lang w:bidi="ar"/>
        </w:rPr>
        <w:t>本授权书于________年________月________日签字生效，特此声明。</w:t>
      </w:r>
    </w:p>
    <w:p w14:paraId="6F25A3FE">
      <w:pPr>
        <w:spacing w:line="360" w:lineRule="auto"/>
        <w:ind w:firstLine="420" w:firstLineChars="200"/>
        <w:rPr>
          <w:rFonts w:ascii="宋体" w:hAnsi="宋体" w:cs="宋体"/>
          <w:szCs w:val="21"/>
        </w:rPr>
      </w:pPr>
      <w:r>
        <w:rPr>
          <w:rFonts w:hint="eastAsia" w:ascii="宋体" w:hAnsi="宋体" w:cs="宋体"/>
          <w:szCs w:val="21"/>
          <w:lang w:bidi="ar"/>
        </w:rPr>
        <w:t xml:space="preserve"> 投标人（盖章）：__________________</w:t>
      </w:r>
    </w:p>
    <w:p w14:paraId="7EB5F4C3">
      <w:pPr>
        <w:spacing w:line="360" w:lineRule="auto"/>
        <w:ind w:firstLine="420" w:firstLineChars="200"/>
        <w:rPr>
          <w:rFonts w:ascii="宋体" w:hAnsi="宋体" w:cs="宋体"/>
          <w:szCs w:val="21"/>
        </w:rPr>
      </w:pPr>
      <w:r>
        <w:rPr>
          <w:rFonts w:hint="eastAsia" w:ascii="宋体" w:hAnsi="宋体" w:cs="宋体"/>
          <w:szCs w:val="21"/>
          <w:lang w:bidi="ar"/>
        </w:rPr>
        <w:t xml:space="preserve"> 地址：__________________</w:t>
      </w:r>
    </w:p>
    <w:p w14:paraId="5BFE7BB3">
      <w:pPr>
        <w:spacing w:line="360" w:lineRule="auto"/>
        <w:ind w:firstLine="420" w:firstLineChars="200"/>
        <w:rPr>
          <w:rFonts w:ascii="宋体" w:hAnsi="宋体" w:cs="宋体"/>
          <w:szCs w:val="21"/>
        </w:rPr>
      </w:pPr>
      <w:r>
        <w:rPr>
          <w:rFonts w:hint="eastAsia" w:ascii="宋体" w:hAnsi="宋体" w:cs="宋体"/>
          <w:szCs w:val="21"/>
          <w:lang w:bidi="ar"/>
        </w:rPr>
        <w:t xml:space="preserve"> 法定代表人（签字或盖章）：__________________</w:t>
      </w:r>
    </w:p>
    <w:p w14:paraId="57037E94">
      <w:pPr>
        <w:spacing w:line="360" w:lineRule="auto"/>
        <w:ind w:firstLine="420" w:firstLineChars="200"/>
        <w:rPr>
          <w:rFonts w:ascii="宋体" w:hAnsi="宋体" w:cs="宋体"/>
          <w:szCs w:val="21"/>
        </w:rPr>
      </w:pPr>
      <w:r>
        <w:rPr>
          <w:rFonts w:hint="eastAsia" w:ascii="宋体" w:hAnsi="宋体" w:cs="宋体"/>
          <w:szCs w:val="21"/>
          <w:lang w:bidi="ar"/>
        </w:rPr>
        <w:t xml:space="preserve"> 职务：__________________</w:t>
      </w:r>
    </w:p>
    <w:p w14:paraId="6E6CAE57">
      <w:pPr>
        <w:spacing w:line="360" w:lineRule="auto"/>
        <w:ind w:firstLine="420" w:firstLineChars="200"/>
        <w:rPr>
          <w:rFonts w:ascii="宋体" w:hAnsi="宋体" w:cs="宋体"/>
          <w:szCs w:val="21"/>
        </w:rPr>
      </w:pPr>
      <w:r>
        <w:rPr>
          <w:rFonts w:hint="eastAsia" w:ascii="宋体" w:hAnsi="宋体" w:cs="宋体"/>
          <w:szCs w:val="21"/>
          <w:lang w:bidi="ar"/>
        </w:rPr>
        <w:t xml:space="preserve"> 被授权人（签字或盖章）：__________________</w:t>
      </w:r>
    </w:p>
    <w:p w14:paraId="379B6025">
      <w:pPr>
        <w:spacing w:line="360" w:lineRule="auto"/>
        <w:ind w:firstLine="420" w:firstLineChars="200"/>
        <w:rPr>
          <w:rFonts w:ascii="宋体" w:hAnsi="宋体" w:cs="宋体"/>
          <w:szCs w:val="21"/>
        </w:rPr>
      </w:pPr>
      <w:r>
        <w:rPr>
          <w:rFonts w:hint="eastAsia" w:ascii="宋体" w:hAnsi="宋体" w:cs="宋体"/>
          <w:szCs w:val="21"/>
          <w:lang w:bidi="ar"/>
        </w:rPr>
        <w:t xml:space="preserve"> 职务：__________________</w:t>
      </w:r>
    </w:p>
    <w:p w14:paraId="007E12F2">
      <w:pPr>
        <w:spacing w:line="360" w:lineRule="auto"/>
        <w:ind w:firstLine="420" w:firstLineChars="200"/>
        <w:rPr>
          <w:rFonts w:ascii="宋体" w:hAnsi="宋体" w:cs="宋体"/>
          <w:szCs w:val="21"/>
          <w:lang w:bidi="ar"/>
        </w:rPr>
      </w:pPr>
      <w:r>
        <w:rPr>
          <w:rFonts w:hint="eastAsia" w:ascii="宋体" w:hAnsi="宋体" w:cs="宋体"/>
          <w:szCs w:val="21"/>
          <w:lang w:bidi="ar"/>
        </w:rPr>
        <w:t>日期： 年 月 日</w:t>
      </w:r>
    </w:p>
    <w:p w14:paraId="6FA69435">
      <w:pPr>
        <w:spacing w:line="360" w:lineRule="auto"/>
        <w:ind w:firstLine="420" w:firstLineChars="200"/>
        <w:rPr>
          <w:rFonts w:ascii="宋体" w:hAnsi="宋体" w:cs="宋体"/>
          <w:szCs w:val="21"/>
        </w:rPr>
      </w:pPr>
    </w:p>
    <w:p w14:paraId="6E964221">
      <w:pPr>
        <w:spacing w:line="360" w:lineRule="auto"/>
        <w:ind w:firstLine="422" w:firstLineChars="200"/>
        <w:rPr>
          <w:rFonts w:ascii="宋体" w:hAnsi="宋体" w:cs="宋体"/>
          <w:b/>
          <w:szCs w:val="21"/>
        </w:rPr>
      </w:pPr>
    </w:p>
    <w:p w14:paraId="6CC5E43A">
      <w:pPr>
        <w:spacing w:line="360" w:lineRule="auto"/>
        <w:ind w:firstLine="420" w:firstLineChars="200"/>
        <w:jc w:val="left"/>
        <w:rPr>
          <w:rFonts w:ascii="宋体" w:hAnsi="宋体" w:cs="宋体"/>
          <w:b/>
          <w:szCs w:val="21"/>
        </w:rPr>
      </w:pPr>
      <w:r>
        <w:rPr>
          <w:rFonts w:hint="eastAsia" w:ascii="宋体" w:hAnsi="宋体" w:cs="宋体"/>
          <w:szCs w:val="21"/>
          <w:u w:val="single"/>
        </w:rPr>
        <mc:AlternateContent>
          <mc:Choice Requires="wps">
            <w:drawing>
              <wp:anchor distT="0" distB="0" distL="114300" distR="114300" simplePos="0" relativeHeight="251662336" behindDoc="0" locked="0" layoutInCell="1" allowOverlap="1">
                <wp:simplePos x="0" y="0"/>
                <wp:positionH relativeFrom="column">
                  <wp:posOffset>2945130</wp:posOffset>
                </wp:positionH>
                <wp:positionV relativeFrom="paragraph">
                  <wp:posOffset>228600</wp:posOffset>
                </wp:positionV>
                <wp:extent cx="2593340" cy="1862455"/>
                <wp:effectExtent l="4445" t="4445" r="8255" b="7620"/>
                <wp:wrapNone/>
                <wp:docPr id="8" name="流程图: 可选过程 8"/>
                <wp:cNvGraphicFramePr/>
                <a:graphic xmlns:a="http://schemas.openxmlformats.org/drawingml/2006/main">
                  <a:graphicData uri="http://schemas.microsoft.com/office/word/2010/wordprocessingShape">
                    <wps:wsp>
                      <wps:cNvSpPr/>
                      <wps:spPr>
                        <a:xfrm>
                          <a:off x="0" y="0"/>
                          <a:ext cx="2593340" cy="186245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2E5BD57">
                            <w:pPr>
                              <w:jc w:val="center"/>
                              <w:rPr>
                                <w:rFonts w:ascii="Times New Roman" w:hAnsi="宋体"/>
                                <w:szCs w:val="21"/>
                              </w:rPr>
                            </w:pPr>
                          </w:p>
                          <w:p w14:paraId="70C0C778">
                            <w:pPr>
                              <w:jc w:val="center"/>
                              <w:rPr>
                                <w:rFonts w:ascii="Times New Roman" w:hAnsi="宋体"/>
                                <w:szCs w:val="21"/>
                              </w:rPr>
                            </w:pPr>
                          </w:p>
                          <w:p w14:paraId="12970DBC">
                            <w:pPr>
                              <w:jc w:val="center"/>
                              <w:rPr>
                                <w:rFonts w:ascii="Times New Roman" w:hAnsi="宋体"/>
                                <w:szCs w:val="21"/>
                              </w:rPr>
                            </w:pPr>
                          </w:p>
                          <w:p w14:paraId="364D0572">
                            <w:pPr>
                              <w:jc w:val="center"/>
                              <w:rPr>
                                <w:rFonts w:ascii="Times New Roman" w:hAnsi="Times New Roman"/>
                                <w:szCs w:val="21"/>
                              </w:rPr>
                            </w:pPr>
                            <w:r>
                              <w:rPr>
                                <w:rFonts w:hint="eastAsia" w:ascii="Times New Roman" w:hAnsi="宋体"/>
                                <w:szCs w:val="21"/>
                              </w:rPr>
                              <w:t>被授权人身份证复印件（正反面）</w:t>
                            </w:r>
                          </w:p>
                        </w:txbxContent>
                      </wps:txbx>
                      <wps:bodyPr upright="1"/>
                    </wps:wsp>
                  </a:graphicData>
                </a:graphic>
              </wp:anchor>
            </w:drawing>
          </mc:Choice>
          <mc:Fallback>
            <w:pict>
              <v:shape id="_x0000_s1026" o:spid="_x0000_s1026" o:spt="176" type="#_x0000_t176" style="position:absolute;left:0pt;margin-left:231.9pt;margin-top:18pt;height:146.65pt;width:204.2pt;z-index:251662336;mso-width-relative:page;mso-height-relative:page;" fillcolor="#FFFFFF" filled="t" stroked="t" coordsize="21600,21600" o:gfxdata="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oLr9bYAAAACgEAAA8AAAAAAAAAAQAgAAAAIgAAAGRycy9kb3ducmV2LnhtbFBL&#10;AQIUABQAAAAIAIdO4kAXNhdfLwIAAF4EAAAOAAAAAAAAAAEAIAAAACcBAABkcnMvZTJvRG9jLnht&#10;bFBLBQYAAAAABgAGAFkBAADIBQAAAAA=&#10;">
                <v:fill on="t" focussize="0,0"/>
                <v:stroke color="#000000" joinstyle="miter"/>
                <v:imagedata o:title=""/>
                <o:lock v:ext="edit" aspectratio="f"/>
                <v:textbox>
                  <w:txbxContent>
                    <w:p w14:paraId="22E5BD57">
                      <w:pPr>
                        <w:jc w:val="center"/>
                        <w:rPr>
                          <w:rFonts w:ascii="Times New Roman" w:hAnsi="宋体"/>
                          <w:szCs w:val="21"/>
                        </w:rPr>
                      </w:pPr>
                    </w:p>
                    <w:p w14:paraId="70C0C778">
                      <w:pPr>
                        <w:jc w:val="center"/>
                        <w:rPr>
                          <w:rFonts w:ascii="Times New Roman" w:hAnsi="宋体"/>
                          <w:szCs w:val="21"/>
                        </w:rPr>
                      </w:pPr>
                    </w:p>
                    <w:p w14:paraId="12970DBC">
                      <w:pPr>
                        <w:jc w:val="center"/>
                        <w:rPr>
                          <w:rFonts w:ascii="Times New Roman" w:hAnsi="宋体"/>
                          <w:szCs w:val="21"/>
                        </w:rPr>
                      </w:pPr>
                    </w:p>
                    <w:p w14:paraId="364D0572">
                      <w:pPr>
                        <w:jc w:val="center"/>
                        <w:rPr>
                          <w:rFonts w:ascii="Times New Roman" w:hAnsi="Times New Roman"/>
                          <w:szCs w:val="21"/>
                        </w:rPr>
                      </w:pPr>
                      <w:r>
                        <w:rPr>
                          <w:rFonts w:hint="eastAsia" w:ascii="Times New Roman" w:hAnsi="宋体"/>
                          <w:szCs w:val="21"/>
                        </w:rPr>
                        <w:t>被授权人身份证复印件（正反面）</w:t>
                      </w:r>
                    </w:p>
                  </w:txbxContent>
                </v:textbox>
              </v:shape>
            </w:pict>
          </mc:Fallback>
        </mc:AlternateContent>
      </w:r>
      <w:r>
        <w:rPr>
          <w:rFonts w:hint="eastAsia" w:ascii="宋体" w:hAnsi="宋体" w:cs="宋体"/>
          <w:szCs w:val="21"/>
          <w:u w:val="single"/>
        </w:rPr>
        <mc:AlternateContent>
          <mc:Choice Requires="wps">
            <w:drawing>
              <wp:anchor distT="0" distB="0" distL="114300" distR="114300" simplePos="0" relativeHeight="251660288" behindDoc="0" locked="0" layoutInCell="1" allowOverlap="1">
                <wp:simplePos x="0" y="0"/>
                <wp:positionH relativeFrom="column">
                  <wp:posOffset>49530</wp:posOffset>
                </wp:positionH>
                <wp:positionV relativeFrom="paragraph">
                  <wp:posOffset>266700</wp:posOffset>
                </wp:positionV>
                <wp:extent cx="2593340" cy="1862455"/>
                <wp:effectExtent l="4445" t="4445" r="8255" b="7620"/>
                <wp:wrapNone/>
                <wp:docPr id="9" name="流程图: 可选过程 9"/>
                <wp:cNvGraphicFramePr/>
                <a:graphic xmlns:a="http://schemas.openxmlformats.org/drawingml/2006/main">
                  <a:graphicData uri="http://schemas.microsoft.com/office/word/2010/wordprocessingShape">
                    <wps:wsp>
                      <wps:cNvSpPr/>
                      <wps:spPr>
                        <a:xfrm>
                          <a:off x="0" y="0"/>
                          <a:ext cx="2593340" cy="186245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C7E3DAF">
                            <w:pPr>
                              <w:jc w:val="center"/>
                              <w:rPr>
                                <w:rFonts w:ascii="Times New Roman" w:hAnsi="宋体"/>
                                <w:szCs w:val="21"/>
                              </w:rPr>
                            </w:pPr>
                          </w:p>
                          <w:p w14:paraId="604FE077">
                            <w:pPr>
                              <w:jc w:val="center"/>
                              <w:rPr>
                                <w:rFonts w:ascii="Times New Roman" w:hAnsi="宋体"/>
                                <w:szCs w:val="21"/>
                              </w:rPr>
                            </w:pPr>
                          </w:p>
                          <w:p w14:paraId="397EBF22">
                            <w:pPr>
                              <w:jc w:val="center"/>
                              <w:rPr>
                                <w:rFonts w:ascii="Times New Roman" w:hAnsi="宋体"/>
                                <w:szCs w:val="21"/>
                              </w:rPr>
                            </w:pPr>
                          </w:p>
                          <w:p w14:paraId="3CA8FA38">
                            <w:pPr>
                              <w:jc w:val="center"/>
                              <w:rPr>
                                <w:rFonts w:ascii="Times New Roman" w:hAnsi="Times New Roman"/>
                                <w:szCs w:val="21"/>
                              </w:rPr>
                            </w:pPr>
                            <w:r>
                              <w:rPr>
                                <w:rFonts w:hint="eastAsia" w:ascii="Times New Roman" w:hAnsi="宋体"/>
                                <w:szCs w:val="21"/>
                              </w:rPr>
                              <w:t>被授权人身份证复印件（正反面）</w:t>
                            </w:r>
                          </w:p>
                        </w:txbxContent>
                      </wps:txbx>
                      <wps:bodyPr upright="1"/>
                    </wps:wsp>
                  </a:graphicData>
                </a:graphic>
              </wp:anchor>
            </w:drawing>
          </mc:Choice>
          <mc:Fallback>
            <w:pict>
              <v:shape id="_x0000_s1026" o:spid="_x0000_s1026" o:spt="176" type="#_x0000_t176" style="position:absolute;left:0pt;margin-left:3.9pt;margin-top:21pt;height:146.65pt;width:204.2pt;z-index:251660288;mso-width-relative:page;mso-height-relative:page;" fillcolor="#FFFFFF" filled="t" stroked="t" coordsize="21600,21600" o:gfxdata="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CstL9cAAAAIAQAADwAAAAAAAAABACAAAAAiAAAAZHJzL2Rvd25yZXYueG1sUEsB&#10;AhQAFAAAAAgAh07iQCotSW8vAgAAXgQAAA4AAAAAAAAAAQAgAAAAJgEAAGRycy9lMm9Eb2MueG1s&#10;UEsFBgAAAAAGAAYAWQEAAMcFAAAAAA==&#10;">
                <v:fill on="t" focussize="0,0"/>
                <v:stroke color="#000000" joinstyle="miter"/>
                <v:imagedata o:title=""/>
                <o:lock v:ext="edit" aspectratio="f"/>
                <v:textbox>
                  <w:txbxContent>
                    <w:p w14:paraId="2C7E3DAF">
                      <w:pPr>
                        <w:jc w:val="center"/>
                        <w:rPr>
                          <w:rFonts w:ascii="Times New Roman" w:hAnsi="宋体"/>
                          <w:szCs w:val="21"/>
                        </w:rPr>
                      </w:pPr>
                    </w:p>
                    <w:p w14:paraId="604FE077">
                      <w:pPr>
                        <w:jc w:val="center"/>
                        <w:rPr>
                          <w:rFonts w:ascii="Times New Roman" w:hAnsi="宋体"/>
                          <w:szCs w:val="21"/>
                        </w:rPr>
                      </w:pPr>
                    </w:p>
                    <w:p w14:paraId="397EBF22">
                      <w:pPr>
                        <w:jc w:val="center"/>
                        <w:rPr>
                          <w:rFonts w:ascii="Times New Roman" w:hAnsi="宋体"/>
                          <w:szCs w:val="21"/>
                        </w:rPr>
                      </w:pPr>
                    </w:p>
                    <w:p w14:paraId="3CA8FA38">
                      <w:pPr>
                        <w:jc w:val="center"/>
                        <w:rPr>
                          <w:rFonts w:ascii="Times New Roman" w:hAnsi="Times New Roman"/>
                          <w:szCs w:val="21"/>
                        </w:rPr>
                      </w:pPr>
                      <w:r>
                        <w:rPr>
                          <w:rFonts w:hint="eastAsia" w:ascii="Times New Roman" w:hAnsi="宋体"/>
                          <w:szCs w:val="21"/>
                        </w:rPr>
                        <w:t>被授权人身份证复印件（正反面）</w:t>
                      </w:r>
                    </w:p>
                  </w:txbxContent>
                </v:textbox>
              </v:shape>
            </w:pict>
          </mc:Fallback>
        </mc:AlternateContent>
      </w:r>
    </w:p>
    <w:p w14:paraId="54B2220D">
      <w:pPr>
        <w:spacing w:line="360" w:lineRule="auto"/>
        <w:jc w:val="left"/>
        <w:rPr>
          <w:rFonts w:ascii="宋体" w:hAnsi="宋体" w:cs="宋体"/>
          <w:b/>
          <w:szCs w:val="21"/>
        </w:rPr>
      </w:pPr>
    </w:p>
    <w:p w14:paraId="5F61C9BA">
      <w:pPr>
        <w:spacing w:line="360" w:lineRule="auto"/>
        <w:jc w:val="left"/>
        <w:rPr>
          <w:rFonts w:ascii="宋体" w:hAnsi="宋体" w:cs="宋体"/>
          <w:b/>
          <w:szCs w:val="21"/>
        </w:rPr>
      </w:pPr>
    </w:p>
    <w:p w14:paraId="758271D0">
      <w:pPr>
        <w:spacing w:line="360" w:lineRule="auto"/>
        <w:jc w:val="left"/>
        <w:rPr>
          <w:rFonts w:ascii="宋体" w:hAnsi="宋体" w:cs="宋体"/>
          <w:b/>
          <w:szCs w:val="21"/>
        </w:rPr>
      </w:pPr>
    </w:p>
    <w:p w14:paraId="350428AD">
      <w:pPr>
        <w:autoSpaceDE w:val="0"/>
        <w:autoSpaceDN w:val="0"/>
        <w:adjustRightInd w:val="0"/>
        <w:snapToGrid w:val="0"/>
        <w:spacing w:line="360" w:lineRule="auto"/>
        <w:ind w:firstLine="422" w:firstLineChars="200"/>
        <w:rPr>
          <w:rFonts w:ascii="宋体" w:hAnsi="宋体" w:cs="宋体"/>
          <w:szCs w:val="21"/>
        </w:rPr>
      </w:pPr>
      <w:r>
        <w:rPr>
          <w:rFonts w:hint="eastAsia" w:ascii="宋体" w:hAnsi="宋体" w:cs="宋体"/>
          <w:b/>
          <w:szCs w:val="21"/>
        </w:rPr>
        <w:br w:type="page"/>
      </w:r>
      <w:r>
        <w:rPr>
          <w:rFonts w:hint="eastAsia" w:ascii="宋体" w:hAnsi="宋体" w:cs="宋体"/>
          <w:b/>
          <w:szCs w:val="21"/>
        </w:rPr>
        <w:t>2.3提供具有独立承担民事责任的能力的证明材料</w:t>
      </w:r>
    </w:p>
    <w:p w14:paraId="65642280">
      <w:pPr>
        <w:spacing w:line="360" w:lineRule="auto"/>
        <w:rPr>
          <w:rFonts w:ascii="宋体" w:hAnsi="宋体" w:cs="宋体"/>
          <w:szCs w:val="21"/>
        </w:rPr>
      </w:pPr>
    </w:p>
    <w:p w14:paraId="72015581">
      <w:pPr>
        <w:spacing w:line="360" w:lineRule="auto"/>
        <w:rPr>
          <w:rFonts w:ascii="宋体" w:hAnsi="宋体" w:cs="宋体"/>
          <w:szCs w:val="21"/>
          <w:lang w:val="en-GB"/>
        </w:rPr>
      </w:pPr>
    </w:p>
    <w:p w14:paraId="2FE839DD">
      <w:pPr>
        <w:spacing w:line="360" w:lineRule="auto"/>
        <w:rPr>
          <w:rFonts w:ascii="宋体" w:hAnsi="宋体" w:cs="宋体"/>
          <w:szCs w:val="21"/>
          <w:lang w:val="en-GB"/>
        </w:rPr>
      </w:pPr>
    </w:p>
    <w:p w14:paraId="09D95102">
      <w:pPr>
        <w:spacing w:line="360" w:lineRule="auto"/>
        <w:rPr>
          <w:rFonts w:ascii="宋体" w:hAnsi="宋体" w:cs="宋体"/>
          <w:szCs w:val="21"/>
          <w:lang w:val="en-GB"/>
        </w:rPr>
      </w:pPr>
    </w:p>
    <w:p w14:paraId="6CA5E73B">
      <w:pPr>
        <w:rPr>
          <w:rFonts w:ascii="宋体" w:hAnsi="宋体" w:cs="宋体"/>
          <w:b/>
          <w:szCs w:val="21"/>
        </w:rPr>
      </w:pPr>
      <w:r>
        <w:rPr>
          <w:rFonts w:hint="eastAsia" w:ascii="宋体" w:hAnsi="宋体" w:cs="宋体"/>
          <w:b/>
          <w:szCs w:val="21"/>
        </w:rPr>
        <w:br w:type="page"/>
      </w:r>
    </w:p>
    <w:p w14:paraId="186B2760">
      <w:pPr>
        <w:pStyle w:val="2"/>
        <w:spacing w:line="360" w:lineRule="auto"/>
        <w:ind w:firstLine="422" w:firstLineChars="200"/>
        <w:rPr>
          <w:rFonts w:ascii="宋体" w:hAnsi="宋体" w:cs="宋体"/>
          <w:b/>
          <w:szCs w:val="21"/>
        </w:rPr>
      </w:pPr>
      <w:r>
        <w:rPr>
          <w:rFonts w:hint="eastAsia" w:ascii="宋体" w:hAnsi="宋体" w:cs="宋体"/>
          <w:b/>
          <w:szCs w:val="21"/>
        </w:rPr>
        <w:t xml:space="preserve">2.4 资格性审查要求的其他资质证明文件 </w:t>
      </w:r>
    </w:p>
    <w:p w14:paraId="7CEBAC7C">
      <w:pPr>
        <w:pStyle w:val="2"/>
        <w:spacing w:line="360" w:lineRule="auto"/>
        <w:ind w:firstLine="422" w:firstLineChars="200"/>
        <w:rPr>
          <w:rFonts w:ascii="宋体" w:hAnsi="宋体" w:cs="宋体"/>
          <w:szCs w:val="21"/>
        </w:rPr>
      </w:pPr>
      <w:r>
        <w:rPr>
          <w:rFonts w:hint="eastAsia" w:ascii="宋体" w:hAnsi="宋体" w:cs="宋体"/>
          <w:b/>
          <w:szCs w:val="21"/>
        </w:rPr>
        <w:t>具有履行合同所必需的设备和专业技术能力</w:t>
      </w:r>
    </w:p>
    <w:p w14:paraId="11B66FC0">
      <w:pPr>
        <w:pStyle w:val="18"/>
        <w:spacing w:line="360" w:lineRule="auto"/>
        <w:ind w:firstLine="0" w:firstLineChars="0"/>
        <w:rPr>
          <w:rFonts w:ascii="宋体" w:hAnsi="宋体" w:cs="宋体"/>
          <w:sz w:val="21"/>
          <w:szCs w:val="21"/>
        </w:rPr>
      </w:pP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14:paraId="5E0C4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4"/>
          </w:tcPr>
          <w:p w14:paraId="4E6540DF">
            <w:pPr>
              <w:spacing w:line="360" w:lineRule="auto"/>
              <w:ind w:firstLine="420" w:firstLineChars="200"/>
              <w:rPr>
                <w:rFonts w:ascii="宋体" w:hAnsi="宋体" w:cs="宋体"/>
                <w:szCs w:val="21"/>
              </w:rPr>
            </w:pPr>
            <w:r>
              <w:rPr>
                <w:rFonts w:hint="eastAsia" w:ascii="宋体" w:hAnsi="宋体" w:cs="宋体"/>
                <w:szCs w:val="21"/>
              </w:rPr>
              <w:t>我单位为本项目实施提供以下设备和专业技术人员：</w:t>
            </w:r>
          </w:p>
        </w:tc>
      </w:tr>
      <w:tr w14:paraId="40865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center"/>
          </w:tcPr>
          <w:p w14:paraId="67698770">
            <w:pPr>
              <w:spacing w:line="360" w:lineRule="auto"/>
              <w:ind w:firstLine="420" w:firstLineChars="200"/>
              <w:rPr>
                <w:rFonts w:ascii="宋体" w:hAnsi="宋体" w:cs="宋体"/>
                <w:szCs w:val="21"/>
              </w:rPr>
            </w:pPr>
            <w:r>
              <w:rPr>
                <w:rFonts w:hint="eastAsia" w:ascii="宋体" w:hAnsi="宋体" w:cs="宋体"/>
                <w:szCs w:val="21"/>
              </w:rPr>
              <w:t>序号</w:t>
            </w:r>
          </w:p>
        </w:tc>
        <w:tc>
          <w:tcPr>
            <w:tcW w:w="2076" w:type="dxa"/>
            <w:vAlign w:val="center"/>
          </w:tcPr>
          <w:p w14:paraId="338C5D30">
            <w:pPr>
              <w:spacing w:line="360" w:lineRule="auto"/>
              <w:rPr>
                <w:rFonts w:ascii="宋体" w:hAnsi="宋体" w:cs="宋体"/>
                <w:szCs w:val="21"/>
              </w:rPr>
            </w:pPr>
            <w:r>
              <w:rPr>
                <w:rFonts w:hint="eastAsia" w:ascii="宋体" w:hAnsi="宋体" w:cs="宋体"/>
                <w:szCs w:val="21"/>
              </w:rPr>
              <w:t>设备名称和专业技术人员</w:t>
            </w:r>
          </w:p>
        </w:tc>
        <w:tc>
          <w:tcPr>
            <w:tcW w:w="2076" w:type="dxa"/>
            <w:vAlign w:val="center"/>
          </w:tcPr>
          <w:p w14:paraId="4164FA9A">
            <w:pPr>
              <w:spacing w:line="360" w:lineRule="auto"/>
              <w:ind w:firstLine="420" w:firstLineChars="200"/>
              <w:rPr>
                <w:rFonts w:ascii="宋体" w:hAnsi="宋体" w:cs="宋体"/>
                <w:szCs w:val="21"/>
              </w:rPr>
            </w:pPr>
            <w:r>
              <w:rPr>
                <w:rFonts w:hint="eastAsia" w:ascii="宋体" w:hAnsi="宋体" w:cs="宋体"/>
                <w:szCs w:val="21"/>
              </w:rPr>
              <w:t>数量及单位</w:t>
            </w:r>
          </w:p>
        </w:tc>
        <w:tc>
          <w:tcPr>
            <w:tcW w:w="2076" w:type="dxa"/>
            <w:vAlign w:val="center"/>
          </w:tcPr>
          <w:p w14:paraId="65D43F63">
            <w:pPr>
              <w:spacing w:line="360" w:lineRule="auto"/>
              <w:ind w:firstLine="420" w:firstLineChars="200"/>
              <w:rPr>
                <w:rFonts w:ascii="宋体" w:hAnsi="宋体" w:cs="宋体"/>
                <w:szCs w:val="21"/>
              </w:rPr>
            </w:pPr>
            <w:r>
              <w:rPr>
                <w:rFonts w:hint="eastAsia" w:ascii="宋体" w:hAnsi="宋体" w:cs="宋体"/>
                <w:szCs w:val="21"/>
              </w:rPr>
              <w:t>备注</w:t>
            </w:r>
          </w:p>
        </w:tc>
      </w:tr>
      <w:tr w14:paraId="06968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92A1B22">
            <w:pPr>
              <w:spacing w:line="360" w:lineRule="auto"/>
              <w:ind w:firstLine="420" w:firstLineChars="200"/>
              <w:rPr>
                <w:rFonts w:ascii="宋体" w:hAnsi="宋体" w:cs="宋体"/>
                <w:szCs w:val="21"/>
              </w:rPr>
            </w:pPr>
            <w:r>
              <w:rPr>
                <w:rFonts w:hint="eastAsia" w:ascii="宋体" w:hAnsi="宋体" w:cs="宋体"/>
                <w:szCs w:val="21"/>
              </w:rPr>
              <w:t>1</w:t>
            </w:r>
          </w:p>
        </w:tc>
        <w:tc>
          <w:tcPr>
            <w:tcW w:w="2076" w:type="dxa"/>
          </w:tcPr>
          <w:p w14:paraId="48778FFE">
            <w:pPr>
              <w:spacing w:line="360" w:lineRule="auto"/>
              <w:ind w:firstLine="420" w:firstLineChars="200"/>
              <w:rPr>
                <w:rFonts w:ascii="宋体" w:hAnsi="宋体" w:cs="宋体"/>
                <w:szCs w:val="21"/>
              </w:rPr>
            </w:pPr>
          </w:p>
        </w:tc>
        <w:tc>
          <w:tcPr>
            <w:tcW w:w="2076" w:type="dxa"/>
          </w:tcPr>
          <w:p w14:paraId="6C74B8DC">
            <w:pPr>
              <w:spacing w:line="360" w:lineRule="auto"/>
              <w:ind w:firstLine="420" w:firstLineChars="200"/>
              <w:rPr>
                <w:rFonts w:ascii="宋体" w:hAnsi="宋体" w:cs="宋体"/>
                <w:szCs w:val="21"/>
              </w:rPr>
            </w:pPr>
          </w:p>
        </w:tc>
        <w:tc>
          <w:tcPr>
            <w:tcW w:w="2076" w:type="dxa"/>
          </w:tcPr>
          <w:p w14:paraId="6CE53717">
            <w:pPr>
              <w:spacing w:line="360" w:lineRule="auto"/>
              <w:ind w:firstLine="420" w:firstLineChars="200"/>
              <w:rPr>
                <w:rFonts w:ascii="宋体" w:hAnsi="宋体" w:cs="宋体"/>
                <w:szCs w:val="21"/>
              </w:rPr>
            </w:pPr>
          </w:p>
        </w:tc>
      </w:tr>
      <w:tr w14:paraId="5E1AE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F786636">
            <w:pPr>
              <w:spacing w:line="360" w:lineRule="auto"/>
              <w:ind w:firstLine="420" w:firstLineChars="200"/>
              <w:rPr>
                <w:rFonts w:ascii="宋体" w:hAnsi="宋体" w:cs="宋体"/>
                <w:szCs w:val="21"/>
              </w:rPr>
            </w:pPr>
            <w:r>
              <w:rPr>
                <w:rFonts w:hint="eastAsia" w:ascii="宋体" w:hAnsi="宋体" w:cs="宋体"/>
                <w:szCs w:val="21"/>
              </w:rPr>
              <w:t>2</w:t>
            </w:r>
          </w:p>
        </w:tc>
        <w:tc>
          <w:tcPr>
            <w:tcW w:w="2076" w:type="dxa"/>
          </w:tcPr>
          <w:p w14:paraId="3B29C431">
            <w:pPr>
              <w:spacing w:line="360" w:lineRule="auto"/>
              <w:ind w:firstLine="420" w:firstLineChars="200"/>
              <w:rPr>
                <w:rFonts w:ascii="宋体" w:hAnsi="宋体" w:cs="宋体"/>
                <w:szCs w:val="21"/>
              </w:rPr>
            </w:pPr>
          </w:p>
        </w:tc>
        <w:tc>
          <w:tcPr>
            <w:tcW w:w="2076" w:type="dxa"/>
          </w:tcPr>
          <w:p w14:paraId="27586FC5">
            <w:pPr>
              <w:spacing w:line="360" w:lineRule="auto"/>
              <w:ind w:firstLine="420" w:firstLineChars="200"/>
              <w:rPr>
                <w:rFonts w:ascii="宋体" w:hAnsi="宋体" w:cs="宋体"/>
                <w:szCs w:val="21"/>
              </w:rPr>
            </w:pPr>
          </w:p>
        </w:tc>
        <w:tc>
          <w:tcPr>
            <w:tcW w:w="2076" w:type="dxa"/>
          </w:tcPr>
          <w:p w14:paraId="759AD4B8">
            <w:pPr>
              <w:spacing w:line="360" w:lineRule="auto"/>
              <w:ind w:firstLine="420" w:firstLineChars="200"/>
              <w:rPr>
                <w:rFonts w:ascii="宋体" w:hAnsi="宋体" w:cs="宋体"/>
                <w:szCs w:val="21"/>
              </w:rPr>
            </w:pPr>
          </w:p>
        </w:tc>
      </w:tr>
      <w:tr w14:paraId="5D016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3890E41">
            <w:pPr>
              <w:spacing w:line="360" w:lineRule="auto"/>
              <w:ind w:firstLine="420" w:firstLineChars="200"/>
              <w:rPr>
                <w:rFonts w:ascii="宋体" w:hAnsi="宋体" w:cs="宋体"/>
                <w:szCs w:val="21"/>
              </w:rPr>
            </w:pPr>
            <w:r>
              <w:rPr>
                <w:rFonts w:hint="eastAsia" w:ascii="宋体" w:hAnsi="宋体" w:cs="宋体"/>
                <w:szCs w:val="21"/>
              </w:rPr>
              <w:t>3</w:t>
            </w:r>
          </w:p>
        </w:tc>
        <w:tc>
          <w:tcPr>
            <w:tcW w:w="2076" w:type="dxa"/>
          </w:tcPr>
          <w:p w14:paraId="3CF4D182">
            <w:pPr>
              <w:spacing w:line="360" w:lineRule="auto"/>
              <w:ind w:firstLine="420" w:firstLineChars="200"/>
              <w:rPr>
                <w:rFonts w:ascii="宋体" w:hAnsi="宋体" w:cs="宋体"/>
                <w:szCs w:val="21"/>
              </w:rPr>
            </w:pPr>
          </w:p>
        </w:tc>
        <w:tc>
          <w:tcPr>
            <w:tcW w:w="2076" w:type="dxa"/>
          </w:tcPr>
          <w:p w14:paraId="2BD3F850">
            <w:pPr>
              <w:spacing w:line="360" w:lineRule="auto"/>
              <w:ind w:firstLine="420" w:firstLineChars="200"/>
              <w:rPr>
                <w:rFonts w:ascii="宋体" w:hAnsi="宋体" w:cs="宋体"/>
                <w:szCs w:val="21"/>
              </w:rPr>
            </w:pPr>
          </w:p>
        </w:tc>
        <w:tc>
          <w:tcPr>
            <w:tcW w:w="2076" w:type="dxa"/>
          </w:tcPr>
          <w:p w14:paraId="1A67D212">
            <w:pPr>
              <w:spacing w:line="360" w:lineRule="auto"/>
              <w:ind w:firstLine="420" w:firstLineChars="200"/>
              <w:rPr>
                <w:rFonts w:ascii="宋体" w:hAnsi="宋体" w:cs="宋体"/>
                <w:szCs w:val="21"/>
              </w:rPr>
            </w:pPr>
          </w:p>
        </w:tc>
      </w:tr>
      <w:tr w14:paraId="7273A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9DEC307">
            <w:pPr>
              <w:spacing w:line="360" w:lineRule="auto"/>
              <w:ind w:firstLine="420" w:firstLineChars="200"/>
              <w:rPr>
                <w:rFonts w:ascii="宋体" w:hAnsi="宋体" w:cs="宋体"/>
                <w:szCs w:val="21"/>
              </w:rPr>
            </w:pPr>
            <w:r>
              <w:rPr>
                <w:rFonts w:hint="eastAsia" w:ascii="宋体" w:hAnsi="宋体" w:cs="宋体"/>
                <w:szCs w:val="21"/>
              </w:rPr>
              <w:t>…</w:t>
            </w:r>
          </w:p>
        </w:tc>
        <w:tc>
          <w:tcPr>
            <w:tcW w:w="2076" w:type="dxa"/>
          </w:tcPr>
          <w:p w14:paraId="3A97954E">
            <w:pPr>
              <w:spacing w:line="360" w:lineRule="auto"/>
              <w:ind w:firstLine="420" w:firstLineChars="200"/>
              <w:rPr>
                <w:rFonts w:ascii="宋体" w:hAnsi="宋体" w:cs="宋体"/>
                <w:szCs w:val="21"/>
              </w:rPr>
            </w:pPr>
          </w:p>
        </w:tc>
        <w:tc>
          <w:tcPr>
            <w:tcW w:w="2076" w:type="dxa"/>
          </w:tcPr>
          <w:p w14:paraId="4E087C26">
            <w:pPr>
              <w:spacing w:line="360" w:lineRule="auto"/>
              <w:ind w:firstLine="420" w:firstLineChars="200"/>
              <w:rPr>
                <w:rFonts w:ascii="宋体" w:hAnsi="宋体" w:cs="宋体"/>
                <w:szCs w:val="21"/>
              </w:rPr>
            </w:pPr>
          </w:p>
        </w:tc>
        <w:tc>
          <w:tcPr>
            <w:tcW w:w="2076" w:type="dxa"/>
          </w:tcPr>
          <w:p w14:paraId="5D5B87BB">
            <w:pPr>
              <w:spacing w:line="360" w:lineRule="auto"/>
              <w:ind w:firstLine="420" w:firstLineChars="200"/>
              <w:rPr>
                <w:rFonts w:ascii="宋体" w:hAnsi="宋体" w:cs="宋体"/>
                <w:szCs w:val="21"/>
              </w:rPr>
            </w:pPr>
          </w:p>
        </w:tc>
      </w:tr>
    </w:tbl>
    <w:p w14:paraId="5BB3802B">
      <w:pPr>
        <w:pStyle w:val="18"/>
        <w:spacing w:line="360" w:lineRule="auto"/>
        <w:ind w:firstLine="0" w:firstLineChars="0"/>
        <w:rPr>
          <w:rFonts w:ascii="宋体" w:hAnsi="宋体" w:cs="宋体"/>
          <w:sz w:val="21"/>
          <w:szCs w:val="21"/>
        </w:rPr>
      </w:pPr>
    </w:p>
    <w:p w14:paraId="0D9204D9">
      <w:pPr>
        <w:spacing w:line="360" w:lineRule="auto"/>
        <w:rPr>
          <w:rFonts w:ascii="宋体" w:hAnsi="宋体" w:cs="宋体"/>
          <w:szCs w:val="21"/>
        </w:rPr>
      </w:pPr>
      <w:r>
        <w:rPr>
          <w:rFonts w:hint="eastAsia" w:ascii="宋体" w:hAnsi="宋体" w:cs="宋体"/>
          <w:szCs w:val="21"/>
        </w:rPr>
        <w:br w:type="page"/>
      </w:r>
    </w:p>
    <w:p w14:paraId="2A3EC7D4">
      <w:pPr>
        <w:pStyle w:val="18"/>
        <w:spacing w:line="360" w:lineRule="auto"/>
        <w:ind w:firstLine="367" w:firstLineChars="175"/>
        <w:rPr>
          <w:rFonts w:ascii="宋体" w:hAnsi="宋体" w:cs="宋体"/>
          <w:sz w:val="21"/>
          <w:szCs w:val="21"/>
        </w:rPr>
      </w:pPr>
      <w:r>
        <w:rPr>
          <w:rFonts w:hint="eastAsia" w:ascii="宋体" w:hAnsi="宋体" w:cs="宋体"/>
          <w:sz w:val="21"/>
          <w:szCs w:val="21"/>
        </w:rPr>
        <w:t>2.5参加采购活动前3年内，在经营活动中没有重大违法记录：</w:t>
      </w:r>
    </w:p>
    <w:p w14:paraId="238CC3ED">
      <w:pPr>
        <w:pStyle w:val="26"/>
        <w:spacing w:before="0" w:after="0" w:line="360" w:lineRule="auto"/>
        <w:ind w:firstLine="739"/>
        <w:rPr>
          <w:rFonts w:ascii="宋体" w:hAnsi="宋体" w:cs="宋体"/>
          <w:b w:val="0"/>
          <w:bCs w:val="0"/>
          <w:spacing w:val="0"/>
          <w:sz w:val="21"/>
          <w:szCs w:val="21"/>
        </w:rPr>
      </w:pPr>
    </w:p>
    <w:p w14:paraId="19EA2240">
      <w:pPr>
        <w:pStyle w:val="26"/>
        <w:spacing w:before="0" w:after="0" w:line="360" w:lineRule="auto"/>
        <w:ind w:firstLine="739"/>
        <w:rPr>
          <w:rFonts w:ascii="宋体" w:hAnsi="宋体" w:cs="宋体"/>
          <w:b w:val="0"/>
          <w:bCs w:val="0"/>
          <w:spacing w:val="0"/>
          <w:sz w:val="21"/>
          <w:szCs w:val="21"/>
        </w:rPr>
      </w:pPr>
      <w:r>
        <w:rPr>
          <w:rFonts w:hint="eastAsia" w:ascii="宋体" w:hAnsi="宋体" w:cs="宋体"/>
          <w:b w:val="0"/>
          <w:bCs w:val="0"/>
          <w:spacing w:val="0"/>
          <w:sz w:val="21"/>
          <w:szCs w:val="21"/>
        </w:rPr>
        <w:t>致：</w:t>
      </w:r>
      <w:r>
        <w:rPr>
          <w:rFonts w:hint="eastAsia" w:ascii="宋体" w:hAnsi="宋体" w:cs="宋体"/>
          <w:b w:val="0"/>
          <w:bCs w:val="0"/>
          <w:spacing w:val="0"/>
          <w:sz w:val="21"/>
          <w:szCs w:val="21"/>
          <w:u w:val="single"/>
        </w:rPr>
        <w:t>（采购人/采购代理机构）</w:t>
      </w:r>
      <w:r>
        <w:rPr>
          <w:rFonts w:hint="eastAsia" w:ascii="宋体" w:hAnsi="宋体" w:cs="宋体"/>
          <w:b w:val="0"/>
          <w:bCs w:val="0"/>
          <w:spacing w:val="0"/>
          <w:sz w:val="21"/>
          <w:szCs w:val="21"/>
        </w:rPr>
        <w:t>：</w:t>
      </w:r>
    </w:p>
    <w:p w14:paraId="3707D180">
      <w:pPr>
        <w:pStyle w:val="26"/>
        <w:spacing w:before="0" w:after="0" w:line="360" w:lineRule="auto"/>
        <w:ind w:firstLine="420" w:firstLineChars="200"/>
        <w:rPr>
          <w:rFonts w:ascii="宋体" w:hAnsi="宋体" w:cs="宋体"/>
          <w:b w:val="0"/>
          <w:bCs w:val="0"/>
          <w:spacing w:val="0"/>
          <w:sz w:val="21"/>
          <w:szCs w:val="21"/>
        </w:rPr>
      </w:pPr>
      <w:r>
        <w:rPr>
          <w:rFonts w:hint="eastAsia" w:ascii="宋体" w:hAnsi="宋体" w:cs="宋体"/>
          <w:b w:val="0"/>
          <w:bCs w:val="0"/>
          <w:spacing w:val="0"/>
          <w:sz w:val="21"/>
          <w:szCs w:val="21"/>
        </w:rPr>
        <w:t>本人以（</w:t>
      </w:r>
      <w:r>
        <w:rPr>
          <w:rFonts w:hint="eastAsia" w:ascii="宋体" w:hAnsi="宋体" w:cs="宋体"/>
          <w:b w:val="0"/>
          <w:bCs w:val="0"/>
          <w:spacing w:val="0"/>
          <w:sz w:val="21"/>
          <w:szCs w:val="21"/>
          <w:u w:val="single"/>
        </w:rPr>
        <w:t>投标人全称）</w:t>
      </w:r>
      <w:r>
        <w:rPr>
          <w:rFonts w:hint="eastAsia" w:ascii="宋体" w:hAnsi="宋体" w:cs="宋体"/>
          <w:b w:val="0"/>
          <w:bCs w:val="0"/>
          <w:spacing w:val="0"/>
          <w:sz w:val="21"/>
          <w:szCs w:val="21"/>
        </w:rPr>
        <w:t>法定代表人的资格，郑重承诺：</w:t>
      </w:r>
    </w:p>
    <w:p w14:paraId="1294F70B">
      <w:pPr>
        <w:pStyle w:val="26"/>
        <w:spacing w:before="0" w:after="0" w:line="360" w:lineRule="auto"/>
        <w:ind w:firstLine="420" w:firstLineChars="200"/>
        <w:rPr>
          <w:rFonts w:ascii="宋体" w:hAnsi="宋体" w:cs="宋体"/>
          <w:b w:val="0"/>
          <w:bCs w:val="0"/>
          <w:spacing w:val="0"/>
          <w:sz w:val="21"/>
          <w:szCs w:val="21"/>
        </w:rPr>
      </w:pPr>
      <w:r>
        <w:rPr>
          <w:rFonts w:hint="eastAsia" w:ascii="宋体" w:hAnsi="宋体" w:cs="宋体"/>
          <w:b w:val="0"/>
          <w:bCs w:val="0"/>
          <w:spacing w:val="0"/>
          <w:sz w:val="21"/>
          <w:szCs w:val="21"/>
        </w:rPr>
        <w:t>我公司具有履行合同要求的专业技术能力，参加本项目政府采购活动前三年内，在经营活动中无违法、违规的不良记录。若在本次项目的招标投标的全过程中，被查实我公司提供的资料及上述承诺不属实，或提供的相关资料不属实或不满足招标文件的要求，则采购人有权取消我公司的投标及中标资格，且我公司将无条件承担由此给本次招标带来的一切后果（包括经济损失）。</w:t>
      </w:r>
    </w:p>
    <w:p w14:paraId="29329258">
      <w:pPr>
        <w:pStyle w:val="26"/>
        <w:spacing w:before="0" w:after="0" w:line="360" w:lineRule="auto"/>
        <w:ind w:firstLine="420" w:firstLineChars="200"/>
        <w:rPr>
          <w:rFonts w:ascii="宋体" w:hAnsi="宋体" w:cs="宋体"/>
          <w:b w:val="0"/>
          <w:sz w:val="21"/>
          <w:szCs w:val="21"/>
        </w:rPr>
      </w:pPr>
      <w:r>
        <w:rPr>
          <w:rFonts w:hint="eastAsia" w:ascii="宋体" w:hAnsi="宋体" w:cs="宋体"/>
          <w:b w:val="0"/>
          <w:bCs w:val="0"/>
          <w:spacing w:val="0"/>
          <w:sz w:val="21"/>
          <w:szCs w:val="21"/>
        </w:rPr>
        <w:t>特此承诺。</w:t>
      </w:r>
    </w:p>
    <w:p w14:paraId="2313A921">
      <w:pPr>
        <w:adjustRightInd w:val="0"/>
        <w:snapToGrid w:val="0"/>
        <w:spacing w:line="360" w:lineRule="auto"/>
        <w:rPr>
          <w:rFonts w:ascii="宋体" w:hAnsi="宋体" w:cs="宋体"/>
          <w:bCs/>
          <w:spacing w:val="10"/>
          <w:szCs w:val="21"/>
        </w:rPr>
      </w:pPr>
    </w:p>
    <w:p w14:paraId="4CB898EC">
      <w:pPr>
        <w:adjustRightInd w:val="0"/>
        <w:snapToGrid w:val="0"/>
        <w:spacing w:line="360" w:lineRule="auto"/>
        <w:rPr>
          <w:rFonts w:ascii="宋体" w:hAnsi="宋体" w:cs="宋体"/>
          <w:szCs w:val="21"/>
        </w:rPr>
      </w:pPr>
    </w:p>
    <w:p w14:paraId="5DDE31FF">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投标人法定代表人（或投标人授权代表）签字或盖章：</w:t>
      </w:r>
      <w:r>
        <w:rPr>
          <w:rFonts w:hint="eastAsia" w:ascii="宋体" w:hAnsi="宋体" w:cs="宋体"/>
          <w:szCs w:val="21"/>
          <w:u w:val="single"/>
        </w:rPr>
        <w:t xml:space="preserve">               </w:t>
      </w:r>
    </w:p>
    <w:p w14:paraId="4FCD039B">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投标人名称（盖章）：</w:t>
      </w:r>
      <w:r>
        <w:rPr>
          <w:rFonts w:hint="eastAsia" w:ascii="宋体" w:hAnsi="宋体" w:cs="宋体"/>
          <w:szCs w:val="21"/>
          <w:u w:val="single"/>
        </w:rPr>
        <w:t xml:space="preserve">                      </w:t>
      </w:r>
    </w:p>
    <w:p w14:paraId="234DD7AA">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9567D34">
      <w:pPr>
        <w:pStyle w:val="18"/>
        <w:spacing w:line="360" w:lineRule="auto"/>
        <w:ind w:firstLine="210"/>
        <w:rPr>
          <w:rFonts w:ascii="宋体" w:hAnsi="宋体" w:cs="宋体"/>
          <w:sz w:val="21"/>
          <w:szCs w:val="21"/>
        </w:rPr>
      </w:pPr>
    </w:p>
    <w:p w14:paraId="33C1B66C">
      <w:pPr>
        <w:spacing w:line="360" w:lineRule="auto"/>
        <w:rPr>
          <w:rFonts w:ascii="宋体" w:hAnsi="宋体" w:cs="宋体"/>
          <w:szCs w:val="21"/>
        </w:rPr>
      </w:pPr>
      <w:r>
        <w:rPr>
          <w:rFonts w:hint="eastAsia" w:ascii="宋体" w:hAnsi="宋体" w:cs="宋体"/>
          <w:szCs w:val="21"/>
        </w:rPr>
        <w:br w:type="page"/>
      </w:r>
    </w:p>
    <w:p w14:paraId="2249BDF6">
      <w:pPr>
        <w:pStyle w:val="18"/>
        <w:spacing w:line="360" w:lineRule="auto"/>
        <w:ind w:firstLine="367" w:firstLineChars="175"/>
        <w:rPr>
          <w:rFonts w:ascii="宋体" w:hAnsi="宋体" w:cs="宋体"/>
          <w:sz w:val="21"/>
          <w:szCs w:val="21"/>
          <w:highlight w:val="yellow"/>
        </w:rPr>
      </w:pPr>
      <w:r>
        <w:rPr>
          <w:rFonts w:hint="eastAsia" w:ascii="宋体" w:hAnsi="宋体" w:cs="宋体"/>
          <w:sz w:val="21"/>
          <w:szCs w:val="21"/>
          <w:highlight w:val="none"/>
        </w:rPr>
        <w:t>2.6本项目属于</w:t>
      </w:r>
      <w:r>
        <w:rPr>
          <w:rFonts w:hint="eastAsia" w:ascii="宋体" w:hAnsi="宋体" w:cs="宋体"/>
          <w:sz w:val="21"/>
          <w:szCs w:val="21"/>
          <w:highlight w:val="none"/>
          <w:lang w:val="en-US" w:eastAsia="zh-CN"/>
        </w:rPr>
        <w:t>不</w:t>
      </w:r>
      <w:r>
        <w:rPr>
          <w:rFonts w:hint="eastAsia" w:ascii="宋体" w:hAnsi="宋体" w:cs="宋体"/>
          <w:sz w:val="21"/>
          <w:szCs w:val="21"/>
          <w:highlight w:val="none"/>
        </w:rPr>
        <w:t>专门面向中小企业采购的项目。本项目中小企业划分标准所属行业为：工业。</w:t>
      </w:r>
    </w:p>
    <w:p w14:paraId="5A710C24">
      <w:pPr>
        <w:pStyle w:val="25"/>
        <w:ind w:firstLine="480"/>
        <w:rPr>
          <w:rFonts w:hint="default"/>
        </w:rPr>
      </w:pPr>
      <w:r>
        <w:t>（以下格式文件由供应商根据需要选用）</w:t>
      </w:r>
    </w:p>
    <w:p w14:paraId="49322A64">
      <w:pPr>
        <w:pStyle w:val="25"/>
        <w:ind w:firstLine="480"/>
        <w:rPr>
          <w:rFonts w:hint="default"/>
        </w:rPr>
      </w:pPr>
      <w:r>
        <w:t>中小企业声明函（所投产品制造商为中小企业时提交本函，所属行业应符合采购文件中明确的本项目所属行业）</w:t>
      </w:r>
    </w:p>
    <w:p w14:paraId="43D06843">
      <w:pPr>
        <w:pStyle w:val="25"/>
        <w:jc w:val="center"/>
        <w:outlineLvl w:val="3"/>
        <w:rPr>
          <w:rFonts w:hint="default"/>
        </w:rPr>
      </w:pPr>
      <w:r>
        <w:rPr>
          <w:b/>
          <w:sz w:val="24"/>
        </w:rPr>
        <w:t>中小企业声明函（货物）</w:t>
      </w:r>
    </w:p>
    <w:p w14:paraId="45AED721">
      <w:pPr>
        <w:pStyle w:val="25"/>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4B05B6A5">
      <w:pPr>
        <w:pStyle w:val="25"/>
        <w:ind w:firstLine="480"/>
        <w:rPr>
          <w:rFonts w:hint="default"/>
        </w:rPr>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41C2472A">
      <w:pPr>
        <w:pStyle w:val="25"/>
        <w:ind w:firstLine="480"/>
        <w:rPr>
          <w:rFonts w:hint="default"/>
        </w:rPr>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351B87EB">
      <w:pPr>
        <w:pStyle w:val="25"/>
        <w:ind w:firstLine="480"/>
        <w:rPr>
          <w:rFonts w:hint="default"/>
        </w:rPr>
      </w:pPr>
      <w:r>
        <w:t>……</w:t>
      </w:r>
    </w:p>
    <w:p w14:paraId="306B9332">
      <w:pPr>
        <w:pStyle w:val="25"/>
        <w:ind w:firstLine="480"/>
        <w:rPr>
          <w:rFonts w:hint="default"/>
        </w:rPr>
      </w:pPr>
      <w:r>
        <w:t>以上企业，不属于大企业的分支机构，不存在控股股东为大企业的情形，也不存在与大企业的负责人为同一人的情形。</w:t>
      </w:r>
    </w:p>
    <w:p w14:paraId="2C766026">
      <w:pPr>
        <w:pStyle w:val="25"/>
        <w:ind w:firstLine="480"/>
        <w:rPr>
          <w:rFonts w:hint="default"/>
        </w:rPr>
      </w:pPr>
      <w:r>
        <w:t>本企业对上述声明内容的真实性负责。如有虚假，将依法承担相应责任。</w:t>
      </w:r>
    </w:p>
    <w:p w14:paraId="1B238A3E">
      <w:pPr>
        <w:pStyle w:val="25"/>
        <w:rPr>
          <w:rFonts w:hint="default"/>
        </w:rPr>
      </w:pPr>
      <w:r>
        <w:t xml:space="preserve"> 企业名称（盖章）：__________________</w:t>
      </w:r>
    </w:p>
    <w:p w14:paraId="2D6C8510">
      <w:pPr>
        <w:pStyle w:val="25"/>
        <w:rPr>
          <w:rFonts w:hint="default"/>
        </w:rPr>
      </w:pPr>
      <w:r>
        <w:t xml:space="preserve"> 日期： 年 月 日</w:t>
      </w:r>
    </w:p>
    <w:p w14:paraId="3E1D67D3">
      <w:pPr>
        <w:pStyle w:val="25"/>
        <w:ind w:firstLine="480"/>
        <w:rPr>
          <w:rFonts w:hint="default"/>
        </w:rPr>
      </w:pPr>
      <w:r>
        <w:t>1：从业人员、营业收入、资产总额填报上一年度数据，无上一年度数据的新成立企业可不填报</w:t>
      </w:r>
    </w:p>
    <w:p w14:paraId="42F8DC90">
      <w:pPr>
        <w:pStyle w:val="25"/>
        <w:ind w:firstLine="480"/>
        <w:rPr>
          <w:rFonts w:hint="default"/>
        </w:rPr>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1C0A825C">
      <w:pPr>
        <w:pStyle w:val="25"/>
        <w:ind w:firstLine="480"/>
        <w:rPr>
          <w:rFonts w:hint="default"/>
        </w:rPr>
      </w:pPr>
      <w:r>
        <w:t xml:space="preserve">  </w:t>
      </w:r>
    </w:p>
    <w:p w14:paraId="1492D956">
      <w:pPr>
        <w:pStyle w:val="25"/>
        <w:ind w:firstLine="480"/>
        <w:rPr>
          <w:rFonts w:hint="default"/>
        </w:rPr>
      </w:pPr>
      <w:r>
        <w:t>中小企业声明函（承建本项目工程为中小企业或者承接本项目服务为中小企业时提交本函，所属行业应符合采购文件中明确的本项目所属行业）</w:t>
      </w:r>
    </w:p>
    <w:p w14:paraId="658443F5">
      <w:pPr>
        <w:pStyle w:val="25"/>
        <w:jc w:val="center"/>
        <w:outlineLvl w:val="3"/>
        <w:rPr>
          <w:rFonts w:hint="default"/>
        </w:rPr>
      </w:pPr>
      <w:r>
        <w:rPr>
          <w:b/>
          <w:sz w:val="24"/>
        </w:rPr>
        <w:t>中小企业声明函（工程、服务）</w:t>
      </w:r>
    </w:p>
    <w:p w14:paraId="181A1313">
      <w:pPr>
        <w:pStyle w:val="25"/>
        <w:ind w:firstLine="480"/>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0AC95501">
      <w:pPr>
        <w:pStyle w:val="25"/>
        <w:ind w:firstLine="480"/>
        <w:rPr>
          <w:rFonts w:hint="default"/>
        </w:rPr>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7BEB85E0">
      <w:pPr>
        <w:pStyle w:val="25"/>
        <w:ind w:firstLine="480"/>
        <w:rPr>
          <w:rFonts w:hint="default"/>
        </w:rPr>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7F658CD1">
      <w:pPr>
        <w:pStyle w:val="25"/>
        <w:ind w:firstLine="480"/>
        <w:rPr>
          <w:rFonts w:hint="default"/>
        </w:rPr>
      </w:pPr>
      <w:r>
        <w:t>……</w:t>
      </w:r>
    </w:p>
    <w:p w14:paraId="5F406F80">
      <w:pPr>
        <w:pStyle w:val="25"/>
        <w:ind w:firstLine="480"/>
        <w:rPr>
          <w:rFonts w:hint="default"/>
        </w:rPr>
      </w:pPr>
      <w:r>
        <w:t>以上企业，不属于大企业的分支机构，不存在控股股东为大企业的情形，也不存在与大企业的负责人为同一人的情形。</w:t>
      </w:r>
    </w:p>
    <w:p w14:paraId="7404972A">
      <w:pPr>
        <w:pStyle w:val="25"/>
        <w:ind w:firstLine="480"/>
        <w:rPr>
          <w:rFonts w:hint="default"/>
        </w:rPr>
      </w:pPr>
      <w:r>
        <w:t>本企业对上述声明内容的真实性负责。如有虚假，将依法承担相应责任。</w:t>
      </w:r>
    </w:p>
    <w:p w14:paraId="7C761129">
      <w:pPr>
        <w:pStyle w:val="25"/>
        <w:rPr>
          <w:rFonts w:hint="default"/>
        </w:rPr>
      </w:pPr>
      <w:r>
        <w:t xml:space="preserve"> 企业名称（盖章）：__________________</w:t>
      </w:r>
    </w:p>
    <w:p w14:paraId="6784A00C">
      <w:pPr>
        <w:pStyle w:val="25"/>
        <w:rPr>
          <w:rFonts w:hint="default"/>
        </w:rPr>
      </w:pPr>
      <w:r>
        <w:t xml:space="preserve"> 日期： 年 月 日</w:t>
      </w:r>
    </w:p>
    <w:p w14:paraId="594AC9AD">
      <w:pPr>
        <w:pStyle w:val="25"/>
        <w:ind w:firstLine="480"/>
        <w:rPr>
          <w:rFonts w:hint="default"/>
        </w:rPr>
      </w:pPr>
      <w:r>
        <w:t>1：从业人员、营业收入、资产总额填报上一年度数据，无上一年度数据的新成立企业可不填报。</w:t>
      </w:r>
    </w:p>
    <w:p w14:paraId="7B17FD7A">
      <w:pPr>
        <w:pStyle w:val="25"/>
        <w:ind w:firstLine="480"/>
        <w:rPr>
          <w:rFonts w:hint="default"/>
        </w:rPr>
      </w:pPr>
      <w:r>
        <w:t>2：投标人应当自行核实是否属于小微企业，并认真填写声明函，若有虚假将追究其责任。</w:t>
      </w:r>
    </w:p>
    <w:p w14:paraId="0C07478E">
      <w:pPr>
        <w:pStyle w:val="18"/>
        <w:spacing w:line="360" w:lineRule="auto"/>
        <w:ind w:firstLine="210"/>
        <w:rPr>
          <w:rFonts w:ascii="宋体" w:hAnsi="宋体" w:cs="宋体"/>
          <w:sz w:val="21"/>
          <w:szCs w:val="21"/>
        </w:rPr>
      </w:pPr>
    </w:p>
    <w:p w14:paraId="345330E1">
      <w:pPr>
        <w:pStyle w:val="18"/>
        <w:spacing w:line="360" w:lineRule="auto"/>
        <w:ind w:firstLine="210"/>
        <w:rPr>
          <w:rFonts w:ascii="宋体" w:hAnsi="宋体" w:cs="宋体"/>
          <w:sz w:val="21"/>
          <w:szCs w:val="21"/>
        </w:rPr>
      </w:pPr>
      <w:r>
        <w:rPr>
          <w:rFonts w:hint="eastAsia" w:ascii="宋体" w:hAnsi="宋体" w:cs="宋体"/>
          <w:sz w:val="21"/>
          <w:szCs w:val="21"/>
        </w:rPr>
        <w:t>注：1.如资格要求属于专门面向中小企业采购的项目，请按投标文件格式提交《中小企业声明函》</w:t>
      </w:r>
    </w:p>
    <w:p w14:paraId="3E8D6D5D">
      <w:pPr>
        <w:pStyle w:val="18"/>
        <w:spacing w:line="360" w:lineRule="auto"/>
        <w:ind w:firstLine="210"/>
        <w:rPr>
          <w:rFonts w:ascii="宋体" w:hAnsi="宋体" w:cs="宋体"/>
          <w:sz w:val="21"/>
          <w:szCs w:val="21"/>
        </w:rPr>
      </w:pPr>
      <w:r>
        <w:rPr>
          <w:rFonts w:hint="eastAsia" w:ascii="宋体" w:hAnsi="宋体" w:cs="宋体"/>
          <w:sz w:val="21"/>
          <w:szCs w:val="21"/>
        </w:rPr>
        <w:t>2.如资格要求不属于专门面向中小企业采购的项目，投标人如果是中小企业请按投标文件格式提交《中小企业声明函》，如果不是中小企业则本页留空。</w:t>
      </w:r>
    </w:p>
    <w:p w14:paraId="6D29E4EB">
      <w:pPr>
        <w:spacing w:line="360" w:lineRule="auto"/>
        <w:rPr>
          <w:rFonts w:ascii="宋体" w:hAnsi="宋体" w:cs="宋体"/>
          <w:szCs w:val="21"/>
        </w:rPr>
      </w:pPr>
      <w:r>
        <w:rPr>
          <w:rFonts w:ascii="宋体" w:hAnsi="宋体" w:cs="宋体"/>
          <w:szCs w:val="21"/>
        </w:rPr>
        <w:br w:type="page"/>
      </w:r>
    </w:p>
    <w:p w14:paraId="6B73DDA3">
      <w:pPr>
        <w:pStyle w:val="18"/>
        <w:wordWrap w:val="0"/>
        <w:spacing w:line="360" w:lineRule="auto"/>
        <w:ind w:firstLine="367" w:firstLineChars="175"/>
        <w:rPr>
          <w:rFonts w:ascii="宋体" w:hAnsi="宋体" w:cs="宋体"/>
          <w:sz w:val="21"/>
          <w:szCs w:val="21"/>
          <w:highlight w:val="none"/>
        </w:rPr>
      </w:pPr>
      <w:r>
        <w:rPr>
          <w:rFonts w:hint="eastAsia" w:ascii="宋体" w:hAnsi="宋体" w:cs="宋体"/>
          <w:sz w:val="21"/>
          <w:szCs w:val="21"/>
          <w:highlight w:val="none"/>
        </w:rPr>
        <w:t>2.7供应商未被列入“信用中国”网站(www.creditchina.gov.cn)“记录失信被执行人或政府采购严重违法失信行为记录名单或重大税收违法失信主体”记录名单；不处于中国政府采购网(www.ccgp.gov.cn)“政府采购严重违法失信行为信息记录”中的禁止参加政府采购活动期间。</w:t>
      </w:r>
    </w:p>
    <w:p w14:paraId="15DD51A5">
      <w:pPr>
        <w:pStyle w:val="18"/>
        <w:wordWrap w:val="0"/>
        <w:spacing w:line="360" w:lineRule="auto"/>
        <w:ind w:firstLine="0" w:firstLineChars="0"/>
        <w:rPr>
          <w:rFonts w:ascii="宋体" w:hAnsi="宋体" w:cs="宋体"/>
          <w:sz w:val="21"/>
          <w:szCs w:val="21"/>
        </w:rPr>
      </w:pPr>
    </w:p>
    <w:p w14:paraId="478278C6">
      <w:pPr>
        <w:pStyle w:val="18"/>
        <w:wordWrap w:val="0"/>
        <w:spacing w:line="360" w:lineRule="auto"/>
        <w:ind w:firstLine="0" w:firstLineChars="0"/>
        <w:rPr>
          <w:rFonts w:ascii="宋体" w:hAnsi="宋体" w:cs="宋体"/>
          <w:sz w:val="21"/>
          <w:szCs w:val="21"/>
        </w:rPr>
      </w:pPr>
      <w:r>
        <w:rPr>
          <w:rFonts w:hint="eastAsia" w:ascii="宋体" w:hAnsi="宋体" w:cs="宋体"/>
          <w:sz w:val="21"/>
          <w:szCs w:val="21"/>
        </w:rPr>
        <w:t>失信被执行人（以下截图样式，仅供参考）</w:t>
      </w:r>
    </w:p>
    <w:p w14:paraId="6936607C">
      <w:pPr>
        <w:spacing w:line="360" w:lineRule="auto"/>
        <w:rPr>
          <w:rFonts w:ascii="宋体" w:hAnsi="宋体" w:cs="宋体"/>
          <w:szCs w:val="21"/>
        </w:rPr>
      </w:pPr>
      <w:r>
        <w:drawing>
          <wp:inline distT="0" distB="0" distL="114300" distR="114300">
            <wp:extent cx="5269865" cy="3401060"/>
            <wp:effectExtent l="0" t="0" r="3175" b="1270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6"/>
                    <a:stretch>
                      <a:fillRect/>
                    </a:stretch>
                  </pic:blipFill>
                  <pic:spPr>
                    <a:xfrm>
                      <a:off x="0" y="0"/>
                      <a:ext cx="5269865" cy="3401060"/>
                    </a:xfrm>
                    <a:prstGeom prst="rect">
                      <a:avLst/>
                    </a:prstGeom>
                    <a:noFill/>
                    <a:ln>
                      <a:noFill/>
                    </a:ln>
                  </pic:spPr>
                </pic:pic>
              </a:graphicData>
            </a:graphic>
          </wp:inline>
        </w:drawing>
      </w:r>
      <w:r>
        <w:rPr>
          <w:rFonts w:hint="eastAsia" w:ascii="宋体" w:hAnsi="宋体" w:cs="宋体"/>
          <w:szCs w:val="21"/>
        </w:rPr>
        <w:br w:type="page"/>
      </w:r>
    </w:p>
    <w:p w14:paraId="2172B808">
      <w:pPr>
        <w:pStyle w:val="18"/>
        <w:wordWrap w:val="0"/>
        <w:spacing w:line="360" w:lineRule="auto"/>
        <w:ind w:firstLine="0" w:firstLineChars="0"/>
        <w:rPr>
          <w:rFonts w:ascii="宋体" w:hAnsi="宋体" w:cs="宋体"/>
          <w:sz w:val="21"/>
          <w:szCs w:val="21"/>
        </w:rPr>
      </w:pPr>
      <w:r>
        <w:rPr>
          <w:rFonts w:hint="eastAsia" w:ascii="宋体" w:hAnsi="宋体" w:cs="宋体"/>
          <w:sz w:val="21"/>
          <w:szCs w:val="21"/>
        </w:rPr>
        <w:t>重大税收违法失信主体（以下截图样式，仅供参考）</w:t>
      </w:r>
    </w:p>
    <w:p w14:paraId="7327AE6D">
      <w:pPr>
        <w:spacing w:line="360" w:lineRule="auto"/>
        <w:rPr>
          <w:rFonts w:ascii="宋体" w:hAnsi="宋体" w:cs="宋体"/>
          <w:szCs w:val="21"/>
        </w:rPr>
      </w:pPr>
      <w:r>
        <w:drawing>
          <wp:inline distT="0" distB="0" distL="114300" distR="114300">
            <wp:extent cx="5269865" cy="4004310"/>
            <wp:effectExtent l="0" t="0" r="3175" b="3810"/>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7"/>
                    <a:stretch>
                      <a:fillRect/>
                    </a:stretch>
                  </pic:blipFill>
                  <pic:spPr>
                    <a:xfrm>
                      <a:off x="0" y="0"/>
                      <a:ext cx="5269865" cy="4004310"/>
                    </a:xfrm>
                    <a:prstGeom prst="rect">
                      <a:avLst/>
                    </a:prstGeom>
                    <a:noFill/>
                    <a:ln>
                      <a:noFill/>
                    </a:ln>
                  </pic:spPr>
                </pic:pic>
              </a:graphicData>
            </a:graphic>
          </wp:inline>
        </w:drawing>
      </w:r>
      <w:r>
        <w:rPr>
          <w:rFonts w:hint="eastAsia" w:ascii="宋体" w:hAnsi="宋体" w:cs="宋体"/>
          <w:szCs w:val="21"/>
        </w:rPr>
        <w:br w:type="page"/>
      </w:r>
    </w:p>
    <w:p w14:paraId="3573DDC3">
      <w:pPr>
        <w:pStyle w:val="18"/>
        <w:wordWrap w:val="0"/>
        <w:spacing w:line="360" w:lineRule="auto"/>
        <w:ind w:firstLine="0" w:firstLineChars="0"/>
        <w:rPr>
          <w:rFonts w:ascii="宋体" w:hAnsi="宋体" w:cs="宋体"/>
          <w:sz w:val="21"/>
          <w:szCs w:val="21"/>
        </w:rPr>
      </w:pPr>
      <w:r>
        <w:rPr>
          <w:rFonts w:hint="eastAsia" w:ascii="宋体" w:hAnsi="宋体" w:cs="宋体"/>
          <w:sz w:val="21"/>
          <w:szCs w:val="21"/>
        </w:rPr>
        <w:t>政府采购严重违法失信行为记录名单（以下截图样式，仅供参考）</w:t>
      </w:r>
    </w:p>
    <w:p w14:paraId="5E954591">
      <w:pPr>
        <w:spacing w:line="360" w:lineRule="auto"/>
        <w:rPr>
          <w:rFonts w:ascii="宋体" w:hAnsi="宋体" w:cs="宋体"/>
          <w:szCs w:val="21"/>
        </w:rPr>
      </w:pPr>
      <w:r>
        <w:drawing>
          <wp:inline distT="0" distB="0" distL="114300" distR="114300">
            <wp:extent cx="5262880" cy="3034030"/>
            <wp:effectExtent l="0" t="0" r="10160" b="1397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8"/>
                    <a:stretch>
                      <a:fillRect/>
                    </a:stretch>
                  </pic:blipFill>
                  <pic:spPr>
                    <a:xfrm>
                      <a:off x="0" y="0"/>
                      <a:ext cx="5262880" cy="3034030"/>
                    </a:xfrm>
                    <a:prstGeom prst="rect">
                      <a:avLst/>
                    </a:prstGeom>
                    <a:noFill/>
                    <a:ln>
                      <a:noFill/>
                    </a:ln>
                  </pic:spPr>
                </pic:pic>
              </a:graphicData>
            </a:graphic>
          </wp:inline>
        </w:drawing>
      </w:r>
      <w:r>
        <w:rPr>
          <w:rFonts w:hint="eastAsia" w:ascii="宋体" w:hAnsi="宋体" w:cs="宋体"/>
          <w:szCs w:val="21"/>
        </w:rPr>
        <w:br w:type="page"/>
      </w:r>
    </w:p>
    <w:p w14:paraId="3BD84CB6">
      <w:pPr>
        <w:pStyle w:val="18"/>
        <w:wordWrap w:val="0"/>
        <w:spacing w:line="360" w:lineRule="auto"/>
        <w:ind w:firstLine="0" w:firstLineChars="0"/>
        <w:rPr>
          <w:rFonts w:ascii="宋体" w:hAnsi="宋体" w:cs="宋体"/>
          <w:sz w:val="21"/>
          <w:szCs w:val="21"/>
        </w:rPr>
      </w:pPr>
      <w:r>
        <w:rPr>
          <w:rFonts w:hint="eastAsia" w:ascii="宋体" w:hAnsi="宋体" w:cs="宋体"/>
          <w:sz w:val="21"/>
          <w:szCs w:val="21"/>
        </w:rPr>
        <w:t>中国政府采购网(www.ccgp.gov.cn)“政府采购严重违法失信行为信息记录”（以下截图样式，仅供参考）</w:t>
      </w:r>
    </w:p>
    <w:p w14:paraId="623BCD8B">
      <w:pPr>
        <w:pStyle w:val="18"/>
        <w:wordWrap w:val="0"/>
        <w:spacing w:line="360" w:lineRule="auto"/>
        <w:ind w:firstLine="0" w:firstLineChars="0"/>
        <w:rPr>
          <w:rFonts w:ascii="宋体" w:hAnsi="宋体" w:cs="宋体"/>
          <w:sz w:val="21"/>
          <w:szCs w:val="21"/>
        </w:rPr>
      </w:pPr>
      <w:r>
        <w:drawing>
          <wp:inline distT="0" distB="0" distL="114300" distR="114300">
            <wp:extent cx="5270500" cy="3506470"/>
            <wp:effectExtent l="0" t="0" r="2540" b="13970"/>
            <wp:docPr id="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pic:cNvPicPr>
                      <a:picLocks noChangeAspect="1"/>
                    </pic:cNvPicPr>
                  </pic:nvPicPr>
                  <pic:blipFill>
                    <a:blip r:embed="rId9"/>
                    <a:stretch>
                      <a:fillRect/>
                    </a:stretch>
                  </pic:blipFill>
                  <pic:spPr>
                    <a:xfrm>
                      <a:off x="0" y="0"/>
                      <a:ext cx="5270500" cy="3506470"/>
                    </a:xfrm>
                    <a:prstGeom prst="rect">
                      <a:avLst/>
                    </a:prstGeom>
                    <a:noFill/>
                    <a:ln>
                      <a:noFill/>
                    </a:ln>
                  </pic:spPr>
                </pic:pic>
              </a:graphicData>
            </a:graphic>
          </wp:inline>
        </w:drawing>
      </w:r>
    </w:p>
    <w:p w14:paraId="41F597AE">
      <w:pPr>
        <w:adjustRightInd w:val="0"/>
        <w:snapToGrid w:val="0"/>
        <w:spacing w:line="360" w:lineRule="auto"/>
        <w:ind w:firstLine="420" w:firstLineChars="200"/>
        <w:rPr>
          <w:rFonts w:ascii="宋体" w:hAnsi="宋体" w:cs="宋体"/>
          <w:szCs w:val="21"/>
        </w:rPr>
      </w:pPr>
    </w:p>
    <w:p w14:paraId="37533C08">
      <w:pPr>
        <w:spacing w:line="360" w:lineRule="auto"/>
        <w:rPr>
          <w:rFonts w:ascii="宋体" w:hAnsi="宋体" w:cs="宋体"/>
          <w:szCs w:val="21"/>
        </w:rPr>
      </w:pPr>
      <w:r>
        <w:rPr>
          <w:rFonts w:hint="eastAsia" w:ascii="宋体" w:hAnsi="宋体" w:cs="宋体"/>
          <w:szCs w:val="21"/>
        </w:rPr>
        <w:br w:type="page"/>
      </w:r>
    </w:p>
    <w:p w14:paraId="7CD6CD65">
      <w:pPr>
        <w:pStyle w:val="18"/>
        <w:wordWrap w:val="0"/>
        <w:spacing w:line="360" w:lineRule="auto"/>
        <w:ind w:firstLine="399" w:firstLineChars="190"/>
        <w:rPr>
          <w:rFonts w:ascii="宋体" w:hAnsi="宋体" w:cs="宋体"/>
          <w:sz w:val="21"/>
          <w:szCs w:val="21"/>
        </w:rPr>
      </w:pPr>
      <w:r>
        <w:rPr>
          <w:rFonts w:hint="eastAsia" w:ascii="宋体" w:hAnsi="宋体" w:cs="宋体"/>
          <w:sz w:val="21"/>
          <w:szCs w:val="21"/>
        </w:rPr>
        <w:t>2.8其他资格要求资料</w:t>
      </w:r>
    </w:p>
    <w:p w14:paraId="11EE4A2F">
      <w:pPr>
        <w:pStyle w:val="18"/>
        <w:spacing w:line="360" w:lineRule="auto"/>
        <w:ind w:firstLine="210"/>
        <w:rPr>
          <w:sz w:val="21"/>
          <w:szCs w:val="21"/>
        </w:rPr>
      </w:pPr>
    </w:p>
    <w:p w14:paraId="57F14E92">
      <w:pPr>
        <w:pageBreakBefore/>
        <w:spacing w:line="360" w:lineRule="auto"/>
        <w:ind w:firstLine="422" w:firstLineChars="200"/>
        <w:rPr>
          <w:rFonts w:ascii="宋体" w:hAnsi="宋体" w:cs="宋体"/>
          <w:b/>
          <w:szCs w:val="21"/>
        </w:rPr>
      </w:pPr>
      <w:r>
        <w:rPr>
          <w:rFonts w:hint="eastAsia" w:ascii="宋体" w:hAnsi="宋体" w:cs="宋体"/>
          <w:b/>
          <w:szCs w:val="21"/>
        </w:rPr>
        <w:t>2.5公平竞争承诺书</w:t>
      </w:r>
    </w:p>
    <w:p w14:paraId="58FAB989">
      <w:pPr>
        <w:pStyle w:val="26"/>
        <w:spacing w:before="0" w:after="0" w:line="360" w:lineRule="auto"/>
        <w:ind w:firstLine="420" w:firstLineChars="200"/>
        <w:rPr>
          <w:rFonts w:ascii="宋体" w:hAnsi="宋体" w:cs="宋体"/>
          <w:b w:val="0"/>
          <w:bCs w:val="0"/>
          <w:spacing w:val="0"/>
          <w:sz w:val="21"/>
          <w:szCs w:val="21"/>
        </w:rPr>
      </w:pPr>
      <w:r>
        <w:rPr>
          <w:rFonts w:hint="eastAsia" w:ascii="宋体" w:hAnsi="宋体" w:cs="宋体"/>
          <w:b w:val="0"/>
          <w:bCs w:val="0"/>
          <w:spacing w:val="0"/>
          <w:sz w:val="21"/>
          <w:szCs w:val="21"/>
        </w:rPr>
        <w:t>致：</w:t>
      </w:r>
      <w:r>
        <w:rPr>
          <w:rFonts w:hint="eastAsia" w:ascii="宋体" w:hAnsi="宋体" w:cs="宋体"/>
          <w:b w:val="0"/>
          <w:bCs w:val="0"/>
          <w:spacing w:val="0"/>
          <w:sz w:val="21"/>
          <w:szCs w:val="21"/>
          <w:u w:val="single"/>
        </w:rPr>
        <w:t>（采购人/采购代理机构）</w:t>
      </w:r>
      <w:r>
        <w:rPr>
          <w:rFonts w:hint="eastAsia" w:ascii="宋体" w:hAnsi="宋体" w:cs="宋体"/>
          <w:b w:val="0"/>
          <w:bCs w:val="0"/>
          <w:spacing w:val="0"/>
          <w:sz w:val="21"/>
          <w:szCs w:val="21"/>
        </w:rPr>
        <w:t>：</w:t>
      </w:r>
    </w:p>
    <w:p w14:paraId="3D4EA4F6">
      <w:pPr>
        <w:pStyle w:val="26"/>
        <w:spacing w:before="0" w:after="0" w:line="360" w:lineRule="auto"/>
        <w:ind w:firstLine="420" w:firstLineChars="200"/>
        <w:rPr>
          <w:rFonts w:ascii="宋体" w:hAnsi="宋体" w:cs="宋体"/>
          <w:b w:val="0"/>
          <w:bCs w:val="0"/>
          <w:spacing w:val="0"/>
          <w:sz w:val="21"/>
          <w:szCs w:val="21"/>
        </w:rPr>
      </w:pPr>
      <w:r>
        <w:rPr>
          <w:rFonts w:hint="eastAsia" w:ascii="宋体" w:hAnsi="宋体" w:cs="宋体"/>
          <w:b w:val="0"/>
          <w:bCs w:val="0"/>
          <w:spacing w:val="0"/>
          <w:sz w:val="21"/>
          <w:szCs w:val="21"/>
        </w:rPr>
        <w:t>本人以（</w:t>
      </w:r>
      <w:r>
        <w:rPr>
          <w:rFonts w:hint="eastAsia" w:ascii="宋体" w:hAnsi="宋体" w:cs="宋体"/>
          <w:b w:val="0"/>
          <w:bCs w:val="0"/>
          <w:spacing w:val="0"/>
          <w:sz w:val="21"/>
          <w:szCs w:val="21"/>
          <w:u w:val="single"/>
        </w:rPr>
        <w:t>投标人全称）</w:t>
      </w:r>
      <w:r>
        <w:rPr>
          <w:rFonts w:hint="eastAsia" w:ascii="宋体" w:hAnsi="宋体" w:cs="宋体"/>
          <w:b w:val="0"/>
          <w:bCs w:val="0"/>
          <w:spacing w:val="0"/>
          <w:sz w:val="21"/>
          <w:szCs w:val="21"/>
        </w:rPr>
        <w:t>法定代表人的资格，郑重承诺：</w:t>
      </w:r>
    </w:p>
    <w:p w14:paraId="47F920B1">
      <w:pPr>
        <w:spacing w:line="360" w:lineRule="auto"/>
        <w:ind w:firstLine="420" w:firstLineChars="200"/>
        <w:rPr>
          <w:rFonts w:ascii="宋体" w:hAnsi="宋体" w:cs="宋体"/>
          <w:szCs w:val="21"/>
        </w:rPr>
      </w:pPr>
      <w:r>
        <w:rPr>
          <w:rFonts w:hint="eastAsia" w:ascii="宋体" w:hAnsi="宋体" w:cs="宋体"/>
          <w:szCs w:val="21"/>
        </w:rPr>
        <w:t xml:space="preserve">1.遵守政府采购法律、法规和规章制度，维护政府采购市场秩序和公平竞争环境； </w:t>
      </w:r>
    </w:p>
    <w:p w14:paraId="134F178C">
      <w:pPr>
        <w:spacing w:line="360" w:lineRule="auto"/>
        <w:ind w:firstLine="420" w:firstLineChars="200"/>
        <w:rPr>
          <w:rFonts w:ascii="宋体" w:hAnsi="宋体" w:cs="宋体"/>
          <w:szCs w:val="21"/>
        </w:rPr>
      </w:pPr>
      <w:r>
        <w:rPr>
          <w:rFonts w:hint="eastAsia" w:ascii="宋体" w:hAnsi="宋体" w:cs="宋体"/>
          <w:szCs w:val="21"/>
        </w:rPr>
        <w:t xml:space="preserve">2.依法诚信参与政府采购活动，自觉维护国家利益、社会公众利益和采购人合法权益； </w:t>
      </w:r>
    </w:p>
    <w:p w14:paraId="38716166">
      <w:pPr>
        <w:spacing w:line="360" w:lineRule="auto"/>
        <w:ind w:firstLine="420" w:firstLineChars="200"/>
        <w:rPr>
          <w:rFonts w:ascii="宋体" w:hAnsi="宋体" w:cs="宋体"/>
          <w:szCs w:val="21"/>
        </w:rPr>
      </w:pPr>
      <w:r>
        <w:rPr>
          <w:rFonts w:hint="eastAsia" w:ascii="宋体" w:hAnsi="宋体" w:cs="宋体"/>
          <w:szCs w:val="21"/>
        </w:rPr>
        <w:t>3.严格保守政府采购活动中获取的国家秘密和商业秘密；</w:t>
      </w:r>
    </w:p>
    <w:p w14:paraId="12679AB7">
      <w:pPr>
        <w:spacing w:line="360" w:lineRule="auto"/>
        <w:ind w:firstLine="420" w:firstLineChars="200"/>
        <w:rPr>
          <w:rFonts w:ascii="宋体" w:hAnsi="宋体" w:cs="宋体"/>
          <w:szCs w:val="21"/>
        </w:rPr>
      </w:pPr>
      <w:r>
        <w:rPr>
          <w:rFonts w:hint="eastAsia" w:ascii="宋体" w:hAnsi="宋体" w:cs="宋体"/>
          <w:szCs w:val="21"/>
        </w:rPr>
        <w:t>4.依法诚信进行质疑与投诉活动；</w:t>
      </w:r>
    </w:p>
    <w:p w14:paraId="340CDC44">
      <w:pPr>
        <w:spacing w:line="360" w:lineRule="auto"/>
        <w:ind w:firstLine="420" w:firstLineChars="200"/>
        <w:rPr>
          <w:rFonts w:ascii="宋体" w:hAnsi="宋体" w:cs="宋体"/>
          <w:szCs w:val="21"/>
        </w:rPr>
      </w:pPr>
      <w:r>
        <w:rPr>
          <w:rFonts w:hint="eastAsia" w:ascii="宋体" w:hAnsi="宋体" w:cs="宋体"/>
          <w:szCs w:val="21"/>
        </w:rPr>
        <w:t>5.我方保证所提交的相关资质文件和证明材料的真实性，有良好的历史诚信记录，并将依法参与</w:t>
      </w:r>
      <w:r>
        <w:rPr>
          <w:rFonts w:hint="eastAsia" w:ascii="宋体" w:hAnsi="宋体" w:cs="宋体"/>
          <w:kern w:val="28"/>
          <w:szCs w:val="21"/>
        </w:rPr>
        <w:t>本采购</w:t>
      </w:r>
      <w:r>
        <w:rPr>
          <w:rFonts w:hint="eastAsia" w:ascii="宋体" w:hAnsi="宋体" w:cs="宋体"/>
          <w:szCs w:val="21"/>
        </w:rPr>
        <w:t>项目的公平竞争，不以任何不正当行为谋取不当利益，否则承担相应的法律责任。</w:t>
      </w:r>
    </w:p>
    <w:p w14:paraId="1494CB96">
      <w:pPr>
        <w:spacing w:line="360" w:lineRule="auto"/>
        <w:ind w:firstLine="420" w:firstLineChars="200"/>
        <w:rPr>
          <w:rFonts w:ascii="宋体" w:hAnsi="宋体" w:cs="宋体"/>
          <w:szCs w:val="21"/>
        </w:rPr>
      </w:pPr>
    </w:p>
    <w:p w14:paraId="5A852EAB">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投标人法定代表人（或投标人授权代表）签字或盖章：</w:t>
      </w:r>
      <w:r>
        <w:rPr>
          <w:rFonts w:hint="eastAsia" w:ascii="宋体" w:hAnsi="宋体" w:cs="宋体"/>
          <w:szCs w:val="21"/>
          <w:u w:val="single"/>
        </w:rPr>
        <w:t xml:space="preserve">               </w:t>
      </w:r>
    </w:p>
    <w:p w14:paraId="02533EBC">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投标人名称（盖章）：</w:t>
      </w:r>
      <w:r>
        <w:rPr>
          <w:rFonts w:hint="eastAsia" w:ascii="宋体" w:hAnsi="宋体" w:cs="宋体"/>
          <w:szCs w:val="21"/>
          <w:u w:val="single"/>
        </w:rPr>
        <w:t xml:space="preserve">                      </w:t>
      </w:r>
    </w:p>
    <w:p w14:paraId="0B0B4098">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2331D39">
      <w:pPr>
        <w:spacing w:line="360" w:lineRule="auto"/>
        <w:ind w:firstLine="420" w:firstLineChars="200"/>
        <w:jc w:val="left"/>
        <w:rPr>
          <w:rFonts w:ascii="宋体" w:hAnsi="宋体" w:cs="宋体"/>
          <w:b/>
          <w:szCs w:val="21"/>
        </w:rPr>
      </w:pPr>
      <w:r>
        <w:rPr>
          <w:rFonts w:hint="eastAsia" w:ascii="宋体" w:hAnsi="宋体" w:cs="宋体"/>
          <w:szCs w:val="21"/>
        </w:rPr>
        <w:br w:type="page"/>
      </w:r>
      <w:r>
        <w:rPr>
          <w:rFonts w:hint="eastAsia" w:ascii="宋体" w:hAnsi="宋体" w:cs="宋体"/>
          <w:b/>
          <w:szCs w:val="21"/>
        </w:rPr>
        <w:t>2.6投标保证金交纳凭证（若有）</w:t>
      </w:r>
    </w:p>
    <w:p w14:paraId="3F088B95">
      <w:pPr>
        <w:spacing w:line="360" w:lineRule="auto"/>
        <w:rPr>
          <w:rFonts w:ascii="宋体" w:hAnsi="宋体" w:cs="宋体"/>
          <w:szCs w:val="21"/>
          <w:u w:val="single"/>
        </w:rPr>
      </w:pPr>
    </w:p>
    <w:p w14:paraId="472FB1C6">
      <w:pPr>
        <w:pStyle w:val="26"/>
        <w:spacing w:before="0" w:after="0" w:line="360" w:lineRule="auto"/>
        <w:ind w:firstLine="420" w:firstLineChars="200"/>
        <w:rPr>
          <w:rFonts w:ascii="宋体" w:hAnsi="宋体" w:cs="宋体"/>
          <w:b w:val="0"/>
          <w:bCs w:val="0"/>
          <w:spacing w:val="0"/>
          <w:sz w:val="21"/>
          <w:szCs w:val="21"/>
        </w:rPr>
      </w:pPr>
      <w:r>
        <w:rPr>
          <w:rFonts w:hint="eastAsia" w:ascii="宋体" w:hAnsi="宋体" w:cs="宋体"/>
          <w:b w:val="0"/>
          <w:bCs w:val="0"/>
          <w:spacing w:val="0"/>
          <w:sz w:val="21"/>
          <w:szCs w:val="21"/>
          <w:u w:val="single"/>
        </w:rPr>
        <w:t>（采购人/采购代理机构）</w:t>
      </w:r>
      <w:r>
        <w:rPr>
          <w:rFonts w:hint="eastAsia" w:ascii="宋体" w:hAnsi="宋体" w:cs="宋体"/>
          <w:b w:val="0"/>
          <w:bCs w:val="0"/>
          <w:spacing w:val="0"/>
          <w:sz w:val="21"/>
          <w:szCs w:val="21"/>
        </w:rPr>
        <w:t>：</w:t>
      </w:r>
    </w:p>
    <w:p w14:paraId="6730E988">
      <w:pPr>
        <w:spacing w:line="360" w:lineRule="auto"/>
        <w:ind w:firstLine="420" w:firstLineChars="200"/>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（投标人全称） </w:t>
      </w:r>
      <w:r>
        <w:rPr>
          <w:rFonts w:hint="eastAsia" w:ascii="宋体" w:hAnsi="宋体" w:cs="宋体"/>
          <w:szCs w:val="21"/>
        </w:rPr>
        <w:t>参加贵方组织的采购项目名称：</w:t>
      </w:r>
      <w:r>
        <w:rPr>
          <w:rFonts w:hint="eastAsia" w:ascii="宋体" w:hAnsi="宋体" w:cs="宋体"/>
          <w:szCs w:val="21"/>
          <w:u w:val="single"/>
        </w:rPr>
        <w:t xml:space="preserve">              </w:t>
      </w:r>
      <w:r>
        <w:rPr>
          <w:rFonts w:hint="eastAsia" w:ascii="宋体" w:hAnsi="宋体" w:cs="宋体"/>
          <w:szCs w:val="21"/>
        </w:rPr>
        <w:t>采购项目编号：</w:t>
      </w:r>
      <w:r>
        <w:rPr>
          <w:rFonts w:hint="eastAsia" w:ascii="宋体" w:hAnsi="宋体" w:cs="宋体"/>
          <w:szCs w:val="21"/>
          <w:u w:val="single"/>
        </w:rPr>
        <w:t xml:space="preserve">             </w:t>
      </w:r>
      <w:r>
        <w:rPr>
          <w:rFonts w:hint="eastAsia" w:ascii="宋体" w:hAnsi="宋体" w:cs="宋体"/>
          <w:szCs w:val="21"/>
        </w:rPr>
        <w:t>包组号：</w:t>
      </w:r>
      <w:r>
        <w:rPr>
          <w:rFonts w:hint="eastAsia" w:ascii="宋体" w:hAnsi="宋体" w:cs="宋体"/>
          <w:szCs w:val="21"/>
          <w:u w:val="single"/>
        </w:rPr>
        <w:t xml:space="preserve">         </w:t>
      </w:r>
      <w:r>
        <w:rPr>
          <w:rFonts w:hint="eastAsia" w:ascii="宋体" w:hAnsi="宋体" w:cs="宋体"/>
          <w:szCs w:val="21"/>
        </w:rPr>
        <w:t>的采购活动。按招标文件的规定，已通过（       ）形式交纳人民币</w:t>
      </w:r>
      <w:r>
        <w:rPr>
          <w:rFonts w:hint="eastAsia" w:ascii="宋体" w:hAnsi="宋体" w:cs="宋体"/>
          <w:szCs w:val="21"/>
          <w:u w:val="single"/>
        </w:rPr>
        <w:t xml:space="preserve">（大写）      </w:t>
      </w:r>
      <w:r>
        <w:rPr>
          <w:rFonts w:hint="eastAsia" w:ascii="宋体" w:hAnsi="宋体" w:cs="宋体"/>
          <w:szCs w:val="21"/>
        </w:rPr>
        <w:t>元的投标保证金。</w:t>
      </w:r>
    </w:p>
    <w:p w14:paraId="02A56917">
      <w:pPr>
        <w:spacing w:line="360" w:lineRule="auto"/>
        <w:ind w:firstLine="420"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p>
    <w:p w14:paraId="2A291592">
      <w:pPr>
        <w:spacing w:line="360" w:lineRule="auto"/>
        <w:ind w:firstLine="420" w:firstLineChars="200"/>
        <w:rPr>
          <w:rFonts w:ascii="宋体" w:hAnsi="宋体" w:cs="宋体"/>
          <w:szCs w:val="21"/>
        </w:rPr>
      </w:pPr>
      <w:r>
        <w:rPr>
          <w:rFonts w:hint="eastAsia" w:ascii="宋体" w:hAnsi="宋体" w:cs="宋体"/>
          <w:szCs w:val="21"/>
        </w:rPr>
        <w:t>投标人开户银行：</w:t>
      </w:r>
      <w:r>
        <w:rPr>
          <w:rFonts w:hint="eastAsia" w:ascii="宋体" w:hAnsi="宋体" w:cs="宋体"/>
          <w:szCs w:val="21"/>
          <w:u w:val="single"/>
        </w:rPr>
        <w:t xml:space="preserve">                 </w:t>
      </w:r>
    </w:p>
    <w:p w14:paraId="50F266F5">
      <w:pPr>
        <w:spacing w:line="360" w:lineRule="auto"/>
        <w:ind w:firstLine="420" w:firstLineChars="200"/>
        <w:rPr>
          <w:rFonts w:ascii="宋体" w:hAnsi="宋体" w:cs="宋体"/>
          <w:szCs w:val="21"/>
          <w:u w:val="single"/>
        </w:rPr>
      </w:pPr>
      <w:r>
        <w:rPr>
          <w:rFonts w:hint="eastAsia" w:ascii="宋体" w:hAnsi="宋体" w:cs="宋体"/>
          <w:szCs w:val="21"/>
        </w:rPr>
        <w:t>投标人银行账号：</w:t>
      </w:r>
      <w:r>
        <w:rPr>
          <w:rFonts w:hint="eastAsia" w:ascii="宋体" w:hAnsi="宋体" w:cs="宋体"/>
          <w:szCs w:val="21"/>
          <w:u w:val="single"/>
        </w:rPr>
        <w:t xml:space="preserve">                 </w:t>
      </w:r>
    </w:p>
    <w:p w14:paraId="49A32D7E">
      <w:pPr>
        <w:spacing w:line="360" w:lineRule="auto"/>
        <w:ind w:firstLine="420" w:firstLineChars="200"/>
        <w:rPr>
          <w:rFonts w:ascii="宋体" w:hAnsi="宋体" w:cs="宋体"/>
          <w:szCs w:val="21"/>
        </w:rPr>
      </w:pPr>
      <w:r>
        <w:rPr>
          <w:rFonts w:hint="eastAsia" w:ascii="宋体" w:hAnsi="宋体" w:cs="宋体"/>
          <w:szCs w:val="21"/>
        </w:rPr>
        <w:t>说明：1.上述要求提供银行转账、银行汇款方式填写。</w:t>
      </w:r>
    </w:p>
    <w:p w14:paraId="6E1974AC">
      <w:pPr>
        <w:autoSpaceDE w:val="0"/>
        <w:autoSpaceDN w:val="0"/>
        <w:spacing w:line="360" w:lineRule="auto"/>
        <w:ind w:firstLine="420" w:firstLineChars="200"/>
        <w:rPr>
          <w:rFonts w:ascii="宋体" w:hAnsi="宋体" w:cs="宋体"/>
          <w:szCs w:val="21"/>
        </w:rPr>
      </w:pPr>
      <w:r>
        <w:rPr>
          <w:rFonts w:hint="eastAsia" w:ascii="宋体" w:hAnsi="宋体" w:cs="宋体"/>
          <w:szCs w:val="21"/>
        </w:rPr>
        <w:t>2.上述要求的填写必须与银行转账或银行汇款凭证的要素一致，采购代理机构单位依据此凭证信息退还投标保证金。</w:t>
      </w:r>
    </w:p>
    <w:p w14:paraId="4EC66BF0">
      <w:pPr>
        <w:adjustRightInd w:val="0"/>
        <w:snapToGrid w:val="0"/>
        <w:spacing w:line="360" w:lineRule="auto"/>
        <w:rPr>
          <w:rFonts w:ascii="宋体" w:hAnsi="宋体" w:cs="宋体"/>
          <w:szCs w:val="21"/>
        </w:rPr>
      </w:pPr>
    </w:p>
    <w:p w14:paraId="6AFDF5F0">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投标人法定代表人（或投标人授权代表）签字或盖章：</w:t>
      </w:r>
      <w:r>
        <w:rPr>
          <w:rFonts w:hint="eastAsia" w:ascii="宋体" w:hAnsi="宋体" w:cs="宋体"/>
          <w:szCs w:val="21"/>
          <w:u w:val="single"/>
        </w:rPr>
        <w:t xml:space="preserve">               </w:t>
      </w:r>
    </w:p>
    <w:p w14:paraId="70A4445D">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投标人名称（盖章）：</w:t>
      </w:r>
      <w:r>
        <w:rPr>
          <w:rFonts w:hint="eastAsia" w:ascii="宋体" w:hAnsi="宋体" w:cs="宋体"/>
          <w:szCs w:val="21"/>
          <w:u w:val="single"/>
        </w:rPr>
        <w:t xml:space="preserve">                      </w:t>
      </w:r>
    </w:p>
    <w:p w14:paraId="6EC916EE">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2025C59">
      <w:pPr>
        <w:spacing w:line="360" w:lineRule="auto"/>
        <w:rPr>
          <w:rFonts w:ascii="宋体" w:hAnsi="宋体" w:cs="宋体"/>
          <w:szCs w:val="21"/>
        </w:rPr>
      </w:pPr>
    </w:p>
    <w:p w14:paraId="5EBF228D">
      <w:pPr>
        <w:spacing w:line="360" w:lineRule="auto"/>
        <w:ind w:firstLine="420" w:firstLineChars="200"/>
        <w:rPr>
          <w:rFonts w:ascii="宋体" w:hAnsi="宋体" w:cs="宋体"/>
          <w:szCs w:val="21"/>
        </w:rPr>
      </w:pPr>
      <w:r>
        <w:rPr>
          <w:rFonts w:hint="eastAsia" w:ascii="宋体" w:hAnsi="宋体" w:cs="宋体"/>
          <w:szCs w:val="21"/>
        </w:rPr>
        <w:t xml:space="preserve">附：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071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072" w:type="dxa"/>
            <w:vAlign w:val="center"/>
          </w:tcPr>
          <w:p w14:paraId="5DC38F57">
            <w:pPr>
              <w:spacing w:line="360" w:lineRule="auto"/>
              <w:ind w:firstLine="422" w:firstLineChars="200"/>
              <w:jc w:val="center"/>
              <w:rPr>
                <w:rFonts w:ascii="宋体" w:hAnsi="宋体" w:cs="宋体"/>
                <w:szCs w:val="21"/>
              </w:rPr>
            </w:pPr>
            <w:r>
              <w:rPr>
                <w:rFonts w:hint="eastAsia" w:ascii="宋体" w:hAnsi="宋体" w:cs="宋体"/>
                <w:b/>
                <w:bCs/>
                <w:szCs w:val="21"/>
              </w:rPr>
              <w:t>保证金凭证复印件</w:t>
            </w:r>
          </w:p>
          <w:p w14:paraId="1EB2A574">
            <w:pPr>
              <w:spacing w:line="360" w:lineRule="auto"/>
              <w:jc w:val="center"/>
              <w:rPr>
                <w:rFonts w:ascii="宋体" w:hAnsi="宋体" w:cs="宋体"/>
                <w:szCs w:val="21"/>
              </w:rPr>
            </w:pPr>
          </w:p>
        </w:tc>
      </w:tr>
    </w:tbl>
    <w:p w14:paraId="599FFFC2">
      <w:pPr>
        <w:spacing w:line="360" w:lineRule="auto"/>
        <w:ind w:firstLine="420" w:firstLineChars="200"/>
        <w:rPr>
          <w:rFonts w:ascii="宋体" w:hAnsi="宋体" w:cs="宋体"/>
          <w:szCs w:val="21"/>
        </w:rPr>
      </w:pPr>
      <w:r>
        <w:rPr>
          <w:rFonts w:hint="eastAsia" w:ascii="宋体" w:hAnsi="宋体" w:cs="宋体"/>
          <w:szCs w:val="21"/>
        </w:rPr>
        <w:t>注：1.投标人投标时，应当按招标文件要求交纳投标保证金。投标保证金可以采用转账、银行汇款形式交纳。</w:t>
      </w:r>
    </w:p>
    <w:p w14:paraId="300E63BD">
      <w:pPr>
        <w:spacing w:line="360" w:lineRule="auto"/>
        <w:ind w:firstLine="420" w:firstLineChars="200"/>
        <w:rPr>
          <w:rFonts w:ascii="宋体" w:hAnsi="宋体" w:cs="宋体"/>
          <w:szCs w:val="21"/>
        </w:rPr>
      </w:pPr>
      <w:r>
        <w:rPr>
          <w:rFonts w:hint="eastAsia" w:ascii="宋体" w:hAnsi="宋体" w:cs="宋体"/>
          <w:szCs w:val="21"/>
        </w:rPr>
        <w:t>2.采购代理机构自中标通知书发出之日起5个工作日内退还未中标人的投标保证金，自采购合同签订之日起5个工作日内退还中标人的投标保证金或者转为中标人的履约保证金。</w:t>
      </w:r>
    </w:p>
    <w:p w14:paraId="426322A3">
      <w:pPr>
        <w:pStyle w:val="4"/>
        <w:spacing w:line="360" w:lineRule="auto"/>
        <w:rPr>
          <w:rFonts w:ascii="宋体" w:hAnsi="宋体" w:cs="宋体"/>
          <w:szCs w:val="21"/>
        </w:rPr>
      </w:pPr>
    </w:p>
    <w:p w14:paraId="180010BC">
      <w:pPr>
        <w:spacing w:line="360" w:lineRule="auto"/>
        <w:ind w:firstLine="420" w:firstLineChars="200"/>
        <w:jc w:val="center"/>
        <w:rPr>
          <w:rFonts w:ascii="宋体" w:hAnsi="宋体" w:cs="宋体"/>
          <w:b/>
          <w:szCs w:val="21"/>
        </w:rPr>
      </w:pPr>
      <w:r>
        <w:rPr>
          <w:rFonts w:hint="eastAsia" w:ascii="宋体" w:hAnsi="宋体" w:cs="宋体"/>
          <w:szCs w:val="21"/>
        </w:rPr>
        <w:br w:type="page"/>
      </w:r>
      <w:r>
        <w:rPr>
          <w:rFonts w:hint="eastAsia" w:ascii="宋体" w:hAnsi="宋体" w:cs="宋体"/>
          <w:b/>
          <w:szCs w:val="21"/>
        </w:rPr>
        <w:t>投标担保函（可选）</w:t>
      </w:r>
    </w:p>
    <w:p w14:paraId="5D517D18">
      <w:pPr>
        <w:autoSpaceDE w:val="0"/>
        <w:autoSpaceDN w:val="0"/>
        <w:adjustRightInd w:val="0"/>
        <w:spacing w:line="360" w:lineRule="auto"/>
        <w:ind w:firstLine="422" w:firstLineChars="200"/>
        <w:jc w:val="center"/>
        <w:rPr>
          <w:rFonts w:ascii="宋体" w:hAnsi="宋体" w:cs="宋体"/>
          <w:b/>
          <w:szCs w:val="21"/>
        </w:rPr>
      </w:pPr>
      <w:r>
        <w:rPr>
          <w:rFonts w:hint="eastAsia" w:ascii="宋体" w:hAnsi="宋体" w:cs="宋体"/>
          <w:b/>
          <w:szCs w:val="21"/>
        </w:rPr>
        <w:t>（若用电汇、转账方式缴纳投标保证金，可不递交该投标担保函）</w:t>
      </w:r>
    </w:p>
    <w:p w14:paraId="78CA6F72">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致：采购人/政府采购代理机构</w:t>
      </w:r>
    </w:p>
    <w:p w14:paraId="2EF1FF87">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rPr>
        <w:t>（以下简称“投标人”）拟参加</w:t>
      </w:r>
      <w:r>
        <w:rPr>
          <w:rFonts w:hint="eastAsia" w:ascii="宋体" w:hAnsi="宋体" w:cs="宋体"/>
          <w:szCs w:val="21"/>
          <w:u w:val="single"/>
        </w:rPr>
        <w:t xml:space="preserve">                      </w:t>
      </w:r>
      <w:r>
        <w:rPr>
          <w:rFonts w:hint="eastAsia" w:ascii="宋体" w:hAnsi="宋体" w:cs="宋体"/>
          <w:szCs w:val="21"/>
        </w:rPr>
        <w:t>项目（项目编号和包组号：</w:t>
      </w:r>
      <w:r>
        <w:rPr>
          <w:rFonts w:hint="eastAsia" w:ascii="宋体" w:hAnsi="宋体" w:cs="宋体"/>
          <w:szCs w:val="21"/>
          <w:u w:val="single"/>
        </w:rPr>
        <w:t xml:space="preserve">           </w:t>
      </w:r>
      <w:r>
        <w:rPr>
          <w:rFonts w:hint="eastAsia" w:ascii="宋体" w:hAnsi="宋体" w:cs="宋体"/>
          <w:szCs w:val="21"/>
        </w:rPr>
        <w:t>）投标，根据该项目招标文件，投标人参加投标时应向贵方缴纳投标保证金，且可以投标担保函的形式缴纳投标保证金。应投标人的申请，我方以保证的方式向贵方提供如下投标保证金担保：</w:t>
      </w:r>
    </w:p>
    <w:p w14:paraId="549A002A">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一、保证责任的情形及保证金额</w:t>
      </w:r>
    </w:p>
    <w:p w14:paraId="00BFDE57">
      <w:pPr>
        <w:autoSpaceDE w:val="0"/>
        <w:autoSpaceDN w:val="0"/>
        <w:adjustRightInd w:val="0"/>
        <w:spacing w:line="360" w:lineRule="auto"/>
        <w:ind w:left="315" w:leftChars="150" w:firstLine="420" w:firstLineChars="200"/>
        <w:jc w:val="left"/>
        <w:rPr>
          <w:rFonts w:ascii="宋体" w:hAnsi="宋体" w:cs="宋体"/>
          <w:szCs w:val="21"/>
        </w:rPr>
      </w:pPr>
      <w:r>
        <w:rPr>
          <w:rFonts w:hint="eastAsia" w:ascii="宋体" w:hAnsi="宋体" w:cs="宋体"/>
          <w:szCs w:val="21"/>
        </w:rPr>
        <w:t>（一）在投标人出现下列情形之一时，我方承担保证责任：</w:t>
      </w:r>
    </w:p>
    <w:p w14:paraId="753EA3F8">
      <w:pPr>
        <w:autoSpaceDE w:val="0"/>
        <w:autoSpaceDN w:val="0"/>
        <w:adjustRightInd w:val="0"/>
        <w:spacing w:line="360" w:lineRule="auto"/>
        <w:ind w:left="315" w:leftChars="150" w:firstLine="420" w:firstLineChars="200"/>
        <w:jc w:val="left"/>
        <w:rPr>
          <w:rFonts w:ascii="宋体" w:hAnsi="宋体" w:cs="宋体"/>
          <w:szCs w:val="21"/>
        </w:rPr>
      </w:pPr>
      <w:r>
        <w:rPr>
          <w:rFonts w:hint="eastAsia" w:ascii="宋体" w:hAnsi="宋体" w:cs="宋体"/>
          <w:szCs w:val="21"/>
        </w:rPr>
        <w:t>1、中标后投标人无正当理由不与采购人签订《政府采购合同》；</w:t>
      </w:r>
    </w:p>
    <w:p w14:paraId="6CC83999">
      <w:pPr>
        <w:autoSpaceDE w:val="0"/>
        <w:autoSpaceDN w:val="0"/>
        <w:adjustRightInd w:val="0"/>
        <w:spacing w:line="360" w:lineRule="auto"/>
        <w:ind w:left="315" w:leftChars="150" w:firstLine="420" w:firstLineChars="200"/>
        <w:jc w:val="left"/>
        <w:rPr>
          <w:rFonts w:ascii="宋体" w:hAnsi="宋体" w:cs="宋体"/>
          <w:szCs w:val="21"/>
        </w:rPr>
      </w:pPr>
      <w:r>
        <w:rPr>
          <w:rFonts w:hint="eastAsia" w:ascii="宋体" w:hAnsi="宋体" w:cs="宋体"/>
          <w:szCs w:val="21"/>
        </w:rPr>
        <w:t>2、招标文件规定的投标人应当缴纳保证金的其他情形。</w:t>
      </w:r>
    </w:p>
    <w:p w14:paraId="7B1D2FE1">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（二）我方承担保证责任的最高金额为人民币</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w:t>
      </w:r>
      <w:r>
        <w:rPr>
          <w:rFonts w:hint="eastAsia" w:ascii="宋体" w:hAnsi="宋体" w:cs="宋体"/>
          <w:szCs w:val="21"/>
        </w:rPr>
        <w:t>），即本项目的投标保证金金额。</w:t>
      </w:r>
    </w:p>
    <w:p w14:paraId="00B3C921">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二、保证的方式及保证期间</w:t>
      </w:r>
    </w:p>
    <w:p w14:paraId="1E655D68">
      <w:pPr>
        <w:autoSpaceDE w:val="0"/>
        <w:autoSpaceDN w:val="0"/>
        <w:adjustRightInd w:val="0"/>
        <w:spacing w:line="360" w:lineRule="auto"/>
        <w:ind w:left="315" w:leftChars="150" w:firstLine="420" w:firstLineChars="200"/>
        <w:jc w:val="left"/>
        <w:rPr>
          <w:rFonts w:ascii="宋体" w:hAnsi="宋体" w:cs="宋体"/>
          <w:szCs w:val="21"/>
        </w:rPr>
      </w:pPr>
      <w:r>
        <w:rPr>
          <w:rFonts w:hint="eastAsia" w:ascii="宋体" w:hAnsi="宋体" w:cs="宋体"/>
          <w:szCs w:val="21"/>
        </w:rPr>
        <w:t>我方保证的方式为：连带责任保证。</w:t>
      </w:r>
    </w:p>
    <w:p w14:paraId="6D9CDB03">
      <w:pPr>
        <w:autoSpaceDE w:val="0"/>
        <w:autoSpaceDN w:val="0"/>
        <w:adjustRightInd w:val="0"/>
        <w:spacing w:line="360" w:lineRule="auto"/>
        <w:ind w:left="315" w:leftChars="150" w:firstLine="420" w:firstLineChars="200"/>
        <w:jc w:val="left"/>
        <w:rPr>
          <w:rFonts w:ascii="宋体" w:hAnsi="宋体" w:cs="宋体"/>
          <w:szCs w:val="21"/>
        </w:rPr>
      </w:pPr>
      <w:r>
        <w:rPr>
          <w:rFonts w:hint="eastAsia" w:ascii="宋体" w:hAnsi="宋体" w:cs="宋体"/>
          <w:szCs w:val="21"/>
        </w:rPr>
        <w:t>我方的保证期间为：自本保函生效之日起</w:t>
      </w:r>
      <w:r>
        <w:rPr>
          <w:rFonts w:hint="eastAsia" w:ascii="宋体" w:hAnsi="宋体" w:cs="宋体"/>
          <w:szCs w:val="21"/>
          <w:u w:val="single"/>
        </w:rPr>
        <w:t>　　　</w:t>
      </w:r>
      <w:r>
        <w:rPr>
          <w:rFonts w:hint="eastAsia" w:ascii="宋体" w:hAnsi="宋体" w:cs="宋体"/>
          <w:szCs w:val="21"/>
        </w:rPr>
        <w:t>个月止。</w:t>
      </w:r>
    </w:p>
    <w:p w14:paraId="6F120BFF">
      <w:pPr>
        <w:autoSpaceDE w:val="0"/>
        <w:autoSpaceDN w:val="0"/>
        <w:adjustRightInd w:val="0"/>
        <w:spacing w:line="360" w:lineRule="auto"/>
        <w:ind w:left="315" w:leftChars="150" w:firstLine="420" w:firstLineChars="200"/>
        <w:jc w:val="left"/>
        <w:rPr>
          <w:rFonts w:ascii="宋体" w:hAnsi="宋体" w:cs="宋体"/>
          <w:szCs w:val="21"/>
        </w:rPr>
      </w:pPr>
      <w:r>
        <w:rPr>
          <w:rFonts w:hint="eastAsia" w:ascii="宋体" w:hAnsi="宋体" w:cs="宋体"/>
          <w:szCs w:val="21"/>
        </w:rPr>
        <w:t>三、承担保证责任的程序</w:t>
      </w:r>
    </w:p>
    <w:p w14:paraId="7D614379">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1、贵方要求我方承担保证责任的，应在本保函保证期间内向我方发出书面索赔通知。索赔通知应写明要求索赔的金额，支付款项应到达的账号，并附有证明投标人发生我方应承担保证责任情形的事实材料。</w:t>
      </w:r>
    </w:p>
    <w:p w14:paraId="5C0236B4">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2、我方在收到索赔通知及相关证明材料后，在</w:t>
      </w:r>
      <w:r>
        <w:rPr>
          <w:rFonts w:hint="eastAsia" w:ascii="宋体" w:hAnsi="宋体" w:cs="宋体"/>
          <w:szCs w:val="21"/>
          <w:u w:val="single"/>
        </w:rPr>
        <w:t>　　　</w:t>
      </w:r>
      <w:r>
        <w:rPr>
          <w:rFonts w:hint="eastAsia" w:ascii="宋体" w:hAnsi="宋体" w:cs="宋体"/>
          <w:szCs w:val="21"/>
        </w:rPr>
        <w:t>个工作日内进行审查，符合应承担保证责任情形的，我方应按照贵方的要求代投标人向贵方支付投标保证金。</w:t>
      </w:r>
    </w:p>
    <w:p w14:paraId="3B66938D">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四、保证责任的终止</w:t>
      </w:r>
    </w:p>
    <w:p w14:paraId="276CE3FA">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1、保证期届满贵方未向我方书面主张保证责任的，自保证期届满次日起，我方保证责任自动终止。</w:t>
      </w:r>
    </w:p>
    <w:p w14:paraId="47E95E54">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2、我方按照本保函向贵方履行了保证责任后，自我方向贵方支付款项（支付款项从我方账户划出）之日起，保证责任终止。</w:t>
      </w:r>
    </w:p>
    <w:p w14:paraId="71EA349F">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3、按照法律法规的规定或出现我方保证责任终止的其他情形的，我方在本保函项下的保证责任亦终止。</w:t>
      </w:r>
    </w:p>
    <w:p w14:paraId="6854C199">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五、免责条款</w:t>
      </w:r>
    </w:p>
    <w:p w14:paraId="6E74B1B9">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1、依照法律规定或贵方与投标人的另行约定，全部或者部分免除投标人投标保证金义务时，我方亦免除相应的保证责任。</w:t>
      </w:r>
    </w:p>
    <w:p w14:paraId="10D59DAF">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2、因贵方原因致使投标人发生本保函第一条第（一）款约定情形的，我方不承担保证责任。</w:t>
      </w:r>
    </w:p>
    <w:p w14:paraId="3C84BA9A">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3、因不可抗力造成投标人发生本保函第一条约定情形的，我方不承担保证责任。</w:t>
      </w:r>
    </w:p>
    <w:p w14:paraId="1D9695E7">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4、贵方或其他有权机关对招标文件进行任何澄清或修改，加重我方保证责任的，我方对加重部分不承担保证责任，但该澄清或修改经我方事先书面同意的除外。</w:t>
      </w:r>
    </w:p>
    <w:p w14:paraId="7E206CF2">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六、争议的解决</w:t>
      </w:r>
    </w:p>
    <w:p w14:paraId="5CAFAB73">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因本保函发生的纠纷，由你我双方协商解决，协商不成的，通过诉讼程序解决，诉讼管辖地的法院为</w:t>
      </w:r>
      <w:r>
        <w:rPr>
          <w:rFonts w:hint="eastAsia" w:ascii="宋体" w:hAnsi="宋体" w:cs="宋体"/>
          <w:szCs w:val="21"/>
          <w:u w:val="single"/>
        </w:rPr>
        <w:t xml:space="preserve"> 　　　　　</w:t>
      </w:r>
      <w:r>
        <w:rPr>
          <w:rFonts w:hint="eastAsia" w:ascii="宋体" w:hAnsi="宋体" w:cs="宋体"/>
          <w:szCs w:val="21"/>
        </w:rPr>
        <w:t>法院。</w:t>
      </w:r>
    </w:p>
    <w:p w14:paraId="6F0A9D5B">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七、保函的生效</w:t>
      </w:r>
    </w:p>
    <w:p w14:paraId="7D29A3B0">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本保函自我方加盖公章之日起生效。</w:t>
      </w:r>
    </w:p>
    <w:p w14:paraId="62697F6E">
      <w:pPr>
        <w:autoSpaceDE w:val="0"/>
        <w:autoSpaceDN w:val="0"/>
        <w:adjustRightInd w:val="0"/>
        <w:spacing w:line="360" w:lineRule="auto"/>
        <w:ind w:left="525" w:leftChars="150" w:hanging="210" w:hangingChars="100"/>
        <w:jc w:val="left"/>
        <w:rPr>
          <w:rFonts w:ascii="宋体" w:hAnsi="宋体" w:cs="宋体"/>
          <w:szCs w:val="21"/>
        </w:rPr>
      </w:pPr>
    </w:p>
    <w:p w14:paraId="5178BAAE">
      <w:pPr>
        <w:autoSpaceDE w:val="0"/>
        <w:autoSpaceDN w:val="0"/>
        <w:adjustRightInd w:val="0"/>
        <w:spacing w:line="360" w:lineRule="auto"/>
        <w:ind w:left="525" w:leftChars="250" w:firstLine="420" w:firstLineChars="200"/>
        <w:jc w:val="left"/>
        <w:rPr>
          <w:rFonts w:ascii="宋体" w:hAnsi="宋体" w:cs="宋体"/>
          <w:szCs w:val="21"/>
        </w:rPr>
      </w:pPr>
      <w:r>
        <w:rPr>
          <w:rFonts w:hint="eastAsia" w:ascii="宋体" w:hAnsi="宋体" w:cs="宋体"/>
          <w:szCs w:val="21"/>
        </w:rPr>
        <w:t>保证人：</w:t>
      </w:r>
      <w:r>
        <w:rPr>
          <w:rFonts w:hint="eastAsia" w:ascii="宋体" w:hAnsi="宋体" w:cs="宋体"/>
          <w:szCs w:val="21"/>
          <w:u w:val="single"/>
        </w:rPr>
        <w:t xml:space="preserve">                    </w:t>
      </w:r>
      <w:r>
        <w:rPr>
          <w:rFonts w:hint="eastAsia" w:ascii="宋体" w:hAnsi="宋体" w:cs="宋体"/>
          <w:szCs w:val="21"/>
        </w:rPr>
        <w:t>（公章）</w:t>
      </w:r>
    </w:p>
    <w:p w14:paraId="55E8E240">
      <w:pPr>
        <w:autoSpaceDE w:val="0"/>
        <w:autoSpaceDN w:val="0"/>
        <w:adjustRightInd w:val="0"/>
        <w:spacing w:line="360" w:lineRule="auto"/>
        <w:ind w:left="525" w:leftChars="250" w:firstLine="420" w:firstLineChars="200"/>
        <w:jc w:val="left"/>
        <w:rPr>
          <w:rFonts w:ascii="宋体" w:hAnsi="宋体" w:cs="宋体"/>
          <w:szCs w:val="21"/>
        </w:rPr>
      </w:pPr>
      <w:r>
        <w:rPr>
          <w:rFonts w:hint="eastAsia" w:ascii="宋体" w:hAnsi="宋体" w:cs="宋体"/>
          <w:szCs w:val="21"/>
        </w:rPr>
        <w:t>年    月     日</w:t>
      </w:r>
    </w:p>
    <w:p w14:paraId="170A0A2E">
      <w:pPr>
        <w:autoSpaceDE w:val="0"/>
        <w:autoSpaceDN w:val="0"/>
        <w:adjustRightInd w:val="0"/>
        <w:spacing w:line="360" w:lineRule="auto"/>
        <w:ind w:left="525" w:leftChars="150" w:hanging="210" w:hangingChars="100"/>
        <w:jc w:val="left"/>
        <w:rPr>
          <w:rFonts w:ascii="宋体" w:hAnsi="宋体" w:cs="宋体"/>
          <w:szCs w:val="21"/>
          <w:u w:val="single"/>
        </w:rPr>
      </w:pPr>
    </w:p>
    <w:p w14:paraId="75C32FDC">
      <w:pPr>
        <w:spacing w:line="360" w:lineRule="auto"/>
        <w:ind w:firstLine="420" w:firstLineChars="200"/>
        <w:rPr>
          <w:rFonts w:ascii="宋体" w:hAnsi="宋体" w:cs="宋体"/>
          <w:szCs w:val="21"/>
        </w:rPr>
      </w:pPr>
    </w:p>
    <w:p w14:paraId="5649D049">
      <w:pPr>
        <w:pageBreakBefore/>
        <w:spacing w:line="360" w:lineRule="auto"/>
        <w:ind w:firstLine="422" w:firstLineChars="200"/>
        <w:jc w:val="center"/>
        <w:outlineLvl w:val="1"/>
        <w:rPr>
          <w:rFonts w:ascii="宋体" w:hAnsi="宋体" w:cs="宋体"/>
          <w:b/>
          <w:szCs w:val="21"/>
        </w:rPr>
      </w:pPr>
      <w:r>
        <w:rPr>
          <w:rFonts w:hint="eastAsia" w:ascii="宋体" w:hAnsi="宋体" w:cs="宋体"/>
          <w:b/>
          <w:szCs w:val="21"/>
        </w:rPr>
        <w:t>三、投标人基本情况</w:t>
      </w:r>
    </w:p>
    <w:p w14:paraId="5F93DF39">
      <w:pPr>
        <w:spacing w:line="360" w:lineRule="auto"/>
        <w:ind w:firstLine="422" w:firstLineChars="200"/>
        <w:rPr>
          <w:rFonts w:ascii="宋体" w:hAnsi="宋体" w:cs="宋体"/>
          <w:b/>
          <w:szCs w:val="21"/>
        </w:rPr>
      </w:pPr>
      <w:r>
        <w:rPr>
          <w:rFonts w:hint="eastAsia" w:ascii="宋体" w:hAnsi="宋体" w:cs="宋体"/>
          <w:b/>
          <w:szCs w:val="21"/>
        </w:rPr>
        <w:t>3.1投标人情况介绍表</w:t>
      </w:r>
    </w:p>
    <w:tbl>
      <w:tblPr>
        <w:tblStyle w:val="20"/>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1114"/>
        <w:gridCol w:w="1453"/>
        <w:gridCol w:w="1426"/>
        <w:gridCol w:w="1551"/>
        <w:gridCol w:w="1424"/>
      </w:tblGrid>
      <w:tr w14:paraId="5749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7" w:hRule="atLeast"/>
        </w:trPr>
        <w:tc>
          <w:tcPr>
            <w:tcW w:w="1751" w:type="dxa"/>
            <w:vAlign w:val="center"/>
          </w:tcPr>
          <w:p w14:paraId="3F6B505E">
            <w:pPr>
              <w:spacing w:line="360" w:lineRule="auto"/>
              <w:jc w:val="center"/>
              <w:rPr>
                <w:rFonts w:ascii="宋体" w:hAnsi="宋体" w:cs="宋体"/>
                <w:szCs w:val="21"/>
              </w:rPr>
            </w:pPr>
            <w:r>
              <w:rPr>
                <w:rFonts w:hint="eastAsia" w:ascii="宋体" w:hAnsi="宋体" w:cs="宋体"/>
                <w:szCs w:val="21"/>
              </w:rPr>
              <w:t>单位名称</w:t>
            </w:r>
          </w:p>
        </w:tc>
        <w:tc>
          <w:tcPr>
            <w:tcW w:w="6968" w:type="dxa"/>
            <w:gridSpan w:val="5"/>
            <w:vAlign w:val="center"/>
          </w:tcPr>
          <w:p w14:paraId="6114C601">
            <w:pPr>
              <w:tabs>
                <w:tab w:val="left" w:pos="540"/>
              </w:tabs>
              <w:spacing w:line="360" w:lineRule="auto"/>
              <w:ind w:left="-132" w:leftChars="-64" w:right="-105" w:rightChars="-50" w:hanging="2"/>
              <w:jc w:val="center"/>
              <w:rPr>
                <w:rFonts w:ascii="宋体" w:hAnsi="宋体" w:cs="宋体"/>
                <w:szCs w:val="21"/>
              </w:rPr>
            </w:pPr>
          </w:p>
        </w:tc>
      </w:tr>
      <w:tr w14:paraId="4FB5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751" w:type="dxa"/>
            <w:vAlign w:val="center"/>
          </w:tcPr>
          <w:p w14:paraId="0C5B6E1A">
            <w:pPr>
              <w:spacing w:line="360" w:lineRule="auto"/>
              <w:jc w:val="center"/>
              <w:rPr>
                <w:rFonts w:ascii="宋体" w:hAnsi="宋体" w:cs="宋体"/>
                <w:szCs w:val="21"/>
              </w:rPr>
            </w:pPr>
            <w:r>
              <w:rPr>
                <w:rFonts w:hint="eastAsia" w:ascii="宋体" w:hAnsi="宋体" w:cs="宋体"/>
                <w:szCs w:val="21"/>
              </w:rPr>
              <w:t>地址</w:t>
            </w:r>
          </w:p>
        </w:tc>
        <w:tc>
          <w:tcPr>
            <w:tcW w:w="6968" w:type="dxa"/>
            <w:gridSpan w:val="5"/>
            <w:vAlign w:val="center"/>
          </w:tcPr>
          <w:p w14:paraId="5A0FB98F">
            <w:pPr>
              <w:tabs>
                <w:tab w:val="left" w:pos="540"/>
              </w:tabs>
              <w:spacing w:line="360" w:lineRule="auto"/>
              <w:ind w:left="-132" w:leftChars="-64" w:right="-105" w:rightChars="-50" w:hanging="2"/>
              <w:jc w:val="center"/>
              <w:rPr>
                <w:rFonts w:ascii="宋体" w:hAnsi="宋体" w:cs="宋体"/>
                <w:szCs w:val="21"/>
              </w:rPr>
            </w:pPr>
          </w:p>
        </w:tc>
      </w:tr>
      <w:tr w14:paraId="2563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751" w:type="dxa"/>
            <w:vAlign w:val="center"/>
          </w:tcPr>
          <w:p w14:paraId="37FF76E9">
            <w:pPr>
              <w:spacing w:line="360" w:lineRule="auto"/>
              <w:jc w:val="center"/>
              <w:rPr>
                <w:rFonts w:ascii="宋体" w:hAnsi="宋体" w:cs="宋体"/>
                <w:szCs w:val="21"/>
              </w:rPr>
            </w:pPr>
            <w:r>
              <w:rPr>
                <w:rFonts w:hint="eastAsia" w:ascii="宋体" w:hAnsi="宋体" w:cs="宋体"/>
                <w:szCs w:val="21"/>
              </w:rPr>
              <w:t>成立时间</w:t>
            </w:r>
          </w:p>
        </w:tc>
        <w:tc>
          <w:tcPr>
            <w:tcW w:w="1114" w:type="dxa"/>
            <w:vAlign w:val="center"/>
          </w:tcPr>
          <w:p w14:paraId="491F9A52">
            <w:pPr>
              <w:spacing w:line="360" w:lineRule="auto"/>
              <w:jc w:val="center"/>
              <w:rPr>
                <w:rFonts w:ascii="宋体" w:hAnsi="宋体" w:cs="宋体"/>
                <w:szCs w:val="21"/>
              </w:rPr>
            </w:pPr>
          </w:p>
        </w:tc>
        <w:tc>
          <w:tcPr>
            <w:tcW w:w="1453" w:type="dxa"/>
            <w:vAlign w:val="center"/>
          </w:tcPr>
          <w:p w14:paraId="3EC62F5D">
            <w:pPr>
              <w:spacing w:line="360" w:lineRule="auto"/>
              <w:jc w:val="center"/>
              <w:rPr>
                <w:rFonts w:ascii="宋体" w:hAnsi="宋体" w:cs="宋体"/>
                <w:szCs w:val="21"/>
              </w:rPr>
            </w:pPr>
            <w:r>
              <w:rPr>
                <w:rFonts w:hint="eastAsia" w:ascii="宋体" w:hAnsi="宋体" w:cs="宋体"/>
                <w:szCs w:val="21"/>
              </w:rPr>
              <w:t>法定代表人</w:t>
            </w:r>
          </w:p>
        </w:tc>
        <w:tc>
          <w:tcPr>
            <w:tcW w:w="1426" w:type="dxa"/>
            <w:vAlign w:val="center"/>
          </w:tcPr>
          <w:p w14:paraId="0AD47F51">
            <w:pPr>
              <w:spacing w:line="360" w:lineRule="auto"/>
              <w:jc w:val="center"/>
              <w:rPr>
                <w:rFonts w:ascii="宋体" w:hAnsi="宋体" w:cs="宋体"/>
                <w:szCs w:val="21"/>
              </w:rPr>
            </w:pPr>
          </w:p>
        </w:tc>
        <w:tc>
          <w:tcPr>
            <w:tcW w:w="1551" w:type="dxa"/>
            <w:vAlign w:val="center"/>
          </w:tcPr>
          <w:p w14:paraId="588E6328">
            <w:pPr>
              <w:spacing w:line="360" w:lineRule="auto"/>
              <w:jc w:val="center"/>
              <w:rPr>
                <w:rFonts w:ascii="宋体" w:hAnsi="宋体" w:cs="宋体"/>
                <w:szCs w:val="21"/>
              </w:rPr>
            </w:pPr>
            <w:r>
              <w:rPr>
                <w:rFonts w:hint="eastAsia" w:ascii="宋体" w:hAnsi="宋体" w:cs="宋体"/>
                <w:szCs w:val="21"/>
              </w:rPr>
              <w:t>职务</w:t>
            </w:r>
          </w:p>
        </w:tc>
        <w:tc>
          <w:tcPr>
            <w:tcW w:w="1424" w:type="dxa"/>
            <w:vAlign w:val="center"/>
          </w:tcPr>
          <w:p w14:paraId="78E401D6">
            <w:pPr>
              <w:spacing w:line="360" w:lineRule="auto"/>
              <w:jc w:val="center"/>
              <w:rPr>
                <w:rFonts w:ascii="宋体" w:hAnsi="宋体" w:cs="宋体"/>
                <w:szCs w:val="21"/>
              </w:rPr>
            </w:pPr>
          </w:p>
        </w:tc>
      </w:tr>
      <w:tr w14:paraId="20A5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751" w:type="dxa"/>
            <w:vAlign w:val="center"/>
          </w:tcPr>
          <w:p w14:paraId="07CC63A9">
            <w:pPr>
              <w:spacing w:line="360" w:lineRule="auto"/>
              <w:jc w:val="center"/>
              <w:rPr>
                <w:rFonts w:ascii="宋体" w:hAnsi="宋体" w:cs="宋体"/>
                <w:szCs w:val="21"/>
              </w:rPr>
            </w:pPr>
            <w:r>
              <w:rPr>
                <w:rFonts w:hint="eastAsia" w:ascii="宋体" w:hAnsi="宋体" w:cs="宋体"/>
                <w:szCs w:val="21"/>
              </w:rPr>
              <w:t>经济类型</w:t>
            </w:r>
          </w:p>
        </w:tc>
        <w:tc>
          <w:tcPr>
            <w:tcW w:w="1114" w:type="dxa"/>
            <w:vAlign w:val="center"/>
          </w:tcPr>
          <w:p w14:paraId="656DBAEE">
            <w:pPr>
              <w:spacing w:line="360" w:lineRule="auto"/>
              <w:jc w:val="center"/>
              <w:rPr>
                <w:rFonts w:ascii="宋体" w:hAnsi="宋体" w:cs="宋体"/>
                <w:szCs w:val="21"/>
              </w:rPr>
            </w:pPr>
          </w:p>
        </w:tc>
        <w:tc>
          <w:tcPr>
            <w:tcW w:w="1453" w:type="dxa"/>
            <w:vAlign w:val="center"/>
          </w:tcPr>
          <w:p w14:paraId="47098AEE">
            <w:pPr>
              <w:spacing w:line="360" w:lineRule="auto"/>
              <w:jc w:val="center"/>
              <w:rPr>
                <w:rFonts w:ascii="宋体" w:hAnsi="宋体" w:cs="宋体"/>
                <w:szCs w:val="21"/>
              </w:rPr>
            </w:pPr>
            <w:r>
              <w:rPr>
                <w:rFonts w:hint="eastAsia" w:ascii="宋体" w:hAnsi="宋体" w:cs="宋体"/>
                <w:szCs w:val="21"/>
              </w:rPr>
              <w:t>授权代表</w:t>
            </w:r>
          </w:p>
        </w:tc>
        <w:tc>
          <w:tcPr>
            <w:tcW w:w="1426" w:type="dxa"/>
            <w:vAlign w:val="center"/>
          </w:tcPr>
          <w:p w14:paraId="2D6B7432">
            <w:pPr>
              <w:spacing w:line="360" w:lineRule="auto"/>
              <w:jc w:val="center"/>
              <w:rPr>
                <w:rFonts w:ascii="宋体" w:hAnsi="宋体" w:cs="宋体"/>
                <w:szCs w:val="21"/>
              </w:rPr>
            </w:pPr>
          </w:p>
        </w:tc>
        <w:tc>
          <w:tcPr>
            <w:tcW w:w="1551" w:type="dxa"/>
            <w:vAlign w:val="center"/>
          </w:tcPr>
          <w:p w14:paraId="4183B65D">
            <w:pPr>
              <w:spacing w:line="360" w:lineRule="auto"/>
              <w:jc w:val="center"/>
              <w:rPr>
                <w:rFonts w:ascii="宋体" w:hAnsi="宋体" w:cs="宋体"/>
                <w:szCs w:val="21"/>
              </w:rPr>
            </w:pPr>
            <w:r>
              <w:rPr>
                <w:rFonts w:hint="eastAsia" w:ascii="宋体" w:hAnsi="宋体" w:cs="宋体"/>
                <w:szCs w:val="21"/>
              </w:rPr>
              <w:t>职务</w:t>
            </w:r>
          </w:p>
        </w:tc>
        <w:tc>
          <w:tcPr>
            <w:tcW w:w="1424" w:type="dxa"/>
            <w:vAlign w:val="center"/>
          </w:tcPr>
          <w:p w14:paraId="6EDCD73A">
            <w:pPr>
              <w:spacing w:line="360" w:lineRule="auto"/>
              <w:jc w:val="center"/>
              <w:rPr>
                <w:rFonts w:ascii="宋体" w:hAnsi="宋体" w:cs="宋体"/>
                <w:szCs w:val="21"/>
              </w:rPr>
            </w:pPr>
          </w:p>
        </w:tc>
      </w:tr>
      <w:tr w14:paraId="7B10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751" w:type="dxa"/>
            <w:vAlign w:val="center"/>
          </w:tcPr>
          <w:p w14:paraId="1840C912">
            <w:pPr>
              <w:spacing w:line="360" w:lineRule="auto"/>
              <w:jc w:val="center"/>
              <w:rPr>
                <w:rFonts w:ascii="宋体" w:hAnsi="宋体" w:cs="宋体"/>
                <w:szCs w:val="21"/>
              </w:rPr>
            </w:pPr>
            <w:r>
              <w:rPr>
                <w:rFonts w:hint="eastAsia" w:ascii="宋体" w:hAnsi="宋体" w:cs="宋体"/>
                <w:szCs w:val="21"/>
              </w:rPr>
              <w:t>邮编</w:t>
            </w:r>
          </w:p>
        </w:tc>
        <w:tc>
          <w:tcPr>
            <w:tcW w:w="1114" w:type="dxa"/>
            <w:vAlign w:val="center"/>
          </w:tcPr>
          <w:p w14:paraId="325A8E3C">
            <w:pPr>
              <w:spacing w:line="360" w:lineRule="auto"/>
              <w:jc w:val="center"/>
              <w:rPr>
                <w:rFonts w:ascii="宋体" w:hAnsi="宋体" w:cs="宋体"/>
                <w:szCs w:val="21"/>
              </w:rPr>
            </w:pPr>
          </w:p>
        </w:tc>
        <w:tc>
          <w:tcPr>
            <w:tcW w:w="1453" w:type="dxa"/>
            <w:vAlign w:val="center"/>
          </w:tcPr>
          <w:p w14:paraId="52C4EC0E">
            <w:pPr>
              <w:spacing w:line="360" w:lineRule="auto"/>
              <w:jc w:val="center"/>
              <w:rPr>
                <w:rFonts w:ascii="宋体" w:hAnsi="宋体" w:cs="宋体"/>
                <w:szCs w:val="21"/>
              </w:rPr>
            </w:pPr>
            <w:r>
              <w:rPr>
                <w:rFonts w:hint="eastAsia" w:ascii="宋体" w:hAnsi="宋体" w:cs="宋体"/>
                <w:szCs w:val="21"/>
              </w:rPr>
              <w:t>电话</w:t>
            </w:r>
          </w:p>
        </w:tc>
        <w:tc>
          <w:tcPr>
            <w:tcW w:w="1426" w:type="dxa"/>
            <w:vAlign w:val="center"/>
          </w:tcPr>
          <w:p w14:paraId="3FBD6BE9">
            <w:pPr>
              <w:spacing w:line="360" w:lineRule="auto"/>
              <w:jc w:val="center"/>
              <w:rPr>
                <w:rFonts w:ascii="宋体" w:hAnsi="宋体" w:cs="宋体"/>
                <w:szCs w:val="21"/>
              </w:rPr>
            </w:pPr>
          </w:p>
        </w:tc>
        <w:tc>
          <w:tcPr>
            <w:tcW w:w="1551" w:type="dxa"/>
            <w:vAlign w:val="center"/>
          </w:tcPr>
          <w:p w14:paraId="069735D1">
            <w:pPr>
              <w:spacing w:line="360" w:lineRule="auto"/>
              <w:jc w:val="center"/>
              <w:rPr>
                <w:rFonts w:ascii="宋体" w:hAnsi="宋体" w:cs="宋体"/>
                <w:szCs w:val="21"/>
              </w:rPr>
            </w:pPr>
            <w:r>
              <w:rPr>
                <w:rFonts w:hint="eastAsia" w:ascii="宋体" w:hAnsi="宋体" w:cs="宋体"/>
                <w:szCs w:val="21"/>
              </w:rPr>
              <w:t>传真</w:t>
            </w:r>
          </w:p>
        </w:tc>
        <w:tc>
          <w:tcPr>
            <w:tcW w:w="1424" w:type="dxa"/>
            <w:vAlign w:val="center"/>
          </w:tcPr>
          <w:p w14:paraId="6053016F">
            <w:pPr>
              <w:spacing w:line="360" w:lineRule="auto"/>
              <w:jc w:val="center"/>
              <w:rPr>
                <w:rFonts w:ascii="宋体" w:hAnsi="宋体" w:cs="宋体"/>
                <w:szCs w:val="21"/>
              </w:rPr>
            </w:pPr>
          </w:p>
        </w:tc>
      </w:tr>
      <w:tr w14:paraId="12CB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751" w:type="dxa"/>
            <w:vAlign w:val="center"/>
          </w:tcPr>
          <w:p w14:paraId="16233738">
            <w:pPr>
              <w:spacing w:line="360" w:lineRule="auto"/>
              <w:jc w:val="center"/>
              <w:rPr>
                <w:rFonts w:ascii="宋体" w:hAnsi="宋体" w:cs="宋体"/>
                <w:szCs w:val="21"/>
              </w:rPr>
            </w:pPr>
            <w:r>
              <w:rPr>
                <w:rFonts w:hint="eastAsia" w:ascii="宋体" w:hAnsi="宋体" w:cs="宋体"/>
                <w:szCs w:val="21"/>
              </w:rPr>
              <w:t>单位简介</w:t>
            </w:r>
          </w:p>
        </w:tc>
        <w:tc>
          <w:tcPr>
            <w:tcW w:w="6968" w:type="dxa"/>
            <w:gridSpan w:val="5"/>
            <w:vAlign w:val="center"/>
          </w:tcPr>
          <w:p w14:paraId="6A8A4BE9">
            <w:pPr>
              <w:spacing w:line="360" w:lineRule="auto"/>
              <w:jc w:val="center"/>
              <w:rPr>
                <w:rFonts w:ascii="宋体" w:hAnsi="宋体" w:cs="宋体"/>
                <w:szCs w:val="21"/>
              </w:rPr>
            </w:pPr>
          </w:p>
        </w:tc>
      </w:tr>
    </w:tbl>
    <w:p w14:paraId="7F0FDC10">
      <w:pPr>
        <w:pStyle w:val="26"/>
        <w:spacing w:before="0" w:after="0" w:line="360" w:lineRule="auto"/>
        <w:ind w:left="720" w:firstLine="420" w:firstLineChars="200"/>
        <w:rPr>
          <w:rFonts w:ascii="宋体" w:hAnsi="宋体" w:cs="宋体"/>
          <w:b w:val="0"/>
          <w:bCs w:val="0"/>
          <w:spacing w:val="0"/>
          <w:sz w:val="21"/>
          <w:szCs w:val="21"/>
          <w:lang w:val="en-GB"/>
        </w:rPr>
      </w:pPr>
    </w:p>
    <w:p w14:paraId="28797966">
      <w:pPr>
        <w:pageBreakBefore/>
        <w:tabs>
          <w:tab w:val="left" w:pos="540"/>
        </w:tabs>
        <w:spacing w:line="360" w:lineRule="auto"/>
        <w:ind w:firstLine="422" w:firstLineChars="200"/>
        <w:jc w:val="left"/>
        <w:rPr>
          <w:rFonts w:ascii="宋体" w:hAnsi="宋体" w:cs="宋体"/>
          <w:b/>
          <w:szCs w:val="21"/>
        </w:rPr>
      </w:pPr>
      <w:r>
        <w:rPr>
          <w:rFonts w:hint="eastAsia" w:ascii="宋体" w:hAnsi="宋体" w:cs="宋体"/>
          <w:b/>
          <w:szCs w:val="21"/>
        </w:rPr>
        <w:t>3.2同类项目业绩介绍</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609"/>
        <w:gridCol w:w="2182"/>
        <w:gridCol w:w="1772"/>
        <w:gridCol w:w="1787"/>
        <w:gridCol w:w="1656"/>
      </w:tblGrid>
      <w:tr w14:paraId="3D52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33" w:type="dxa"/>
            <w:shd w:val="clear" w:color="auto" w:fill="D9D9D9"/>
            <w:vAlign w:val="center"/>
          </w:tcPr>
          <w:p w14:paraId="02B76DE8">
            <w:pPr>
              <w:spacing w:line="360" w:lineRule="auto"/>
              <w:jc w:val="center"/>
              <w:rPr>
                <w:rFonts w:ascii="宋体" w:hAnsi="宋体" w:cs="宋体"/>
                <w:b/>
                <w:szCs w:val="21"/>
              </w:rPr>
            </w:pPr>
            <w:r>
              <w:rPr>
                <w:rFonts w:hint="eastAsia" w:ascii="宋体" w:hAnsi="宋体" w:cs="宋体"/>
                <w:b/>
                <w:szCs w:val="21"/>
              </w:rPr>
              <w:t>序号</w:t>
            </w:r>
          </w:p>
        </w:tc>
        <w:tc>
          <w:tcPr>
            <w:tcW w:w="1609" w:type="dxa"/>
            <w:shd w:val="clear" w:color="auto" w:fill="D9D9D9"/>
            <w:vAlign w:val="center"/>
          </w:tcPr>
          <w:p w14:paraId="415A7782">
            <w:pPr>
              <w:spacing w:line="360" w:lineRule="auto"/>
              <w:jc w:val="center"/>
              <w:rPr>
                <w:rFonts w:ascii="宋体" w:hAnsi="宋体" w:cs="宋体"/>
                <w:b/>
                <w:szCs w:val="21"/>
              </w:rPr>
            </w:pPr>
            <w:r>
              <w:rPr>
                <w:rFonts w:hint="eastAsia" w:ascii="宋体" w:hAnsi="宋体" w:cs="宋体"/>
                <w:b/>
                <w:szCs w:val="21"/>
              </w:rPr>
              <w:t>业主名称</w:t>
            </w:r>
          </w:p>
        </w:tc>
        <w:tc>
          <w:tcPr>
            <w:tcW w:w="2182" w:type="dxa"/>
            <w:shd w:val="clear" w:color="auto" w:fill="D9D9D9"/>
            <w:vAlign w:val="center"/>
          </w:tcPr>
          <w:p w14:paraId="660FF5DC">
            <w:pPr>
              <w:spacing w:line="360" w:lineRule="auto"/>
              <w:jc w:val="center"/>
              <w:rPr>
                <w:rFonts w:ascii="宋体" w:hAnsi="宋体" w:cs="宋体"/>
                <w:b/>
                <w:szCs w:val="21"/>
              </w:rPr>
            </w:pPr>
            <w:r>
              <w:rPr>
                <w:rFonts w:hint="eastAsia" w:ascii="宋体" w:hAnsi="宋体" w:cs="宋体"/>
                <w:b/>
                <w:szCs w:val="21"/>
              </w:rPr>
              <w:t>项目名称</w:t>
            </w:r>
          </w:p>
        </w:tc>
        <w:tc>
          <w:tcPr>
            <w:tcW w:w="1772" w:type="dxa"/>
            <w:shd w:val="clear" w:color="auto" w:fill="D9D9D9"/>
            <w:vAlign w:val="center"/>
          </w:tcPr>
          <w:p w14:paraId="15F15401">
            <w:pPr>
              <w:spacing w:line="360" w:lineRule="auto"/>
              <w:ind w:firstLine="422" w:firstLineChars="200"/>
              <w:jc w:val="center"/>
              <w:rPr>
                <w:rFonts w:ascii="宋体" w:hAnsi="宋体" w:cs="宋体"/>
                <w:b/>
                <w:szCs w:val="21"/>
              </w:rPr>
            </w:pPr>
            <w:r>
              <w:rPr>
                <w:rFonts w:hint="eastAsia" w:ascii="宋体" w:hAnsi="宋体" w:cs="宋体"/>
                <w:b/>
                <w:szCs w:val="21"/>
              </w:rPr>
              <w:t>合同金额</w:t>
            </w:r>
          </w:p>
          <w:p w14:paraId="1BB05DC6">
            <w:pPr>
              <w:spacing w:line="360" w:lineRule="auto"/>
              <w:ind w:firstLine="422" w:firstLineChars="200"/>
              <w:jc w:val="center"/>
              <w:rPr>
                <w:rFonts w:ascii="宋体" w:hAnsi="宋体" w:cs="宋体"/>
                <w:b/>
                <w:szCs w:val="21"/>
              </w:rPr>
            </w:pPr>
            <w:r>
              <w:rPr>
                <w:rFonts w:hint="eastAsia" w:ascii="宋体" w:hAnsi="宋体" w:cs="宋体"/>
                <w:b/>
                <w:szCs w:val="21"/>
              </w:rPr>
              <w:t>（万元）</w:t>
            </w:r>
          </w:p>
        </w:tc>
        <w:tc>
          <w:tcPr>
            <w:tcW w:w="1787" w:type="dxa"/>
            <w:shd w:val="clear" w:color="auto" w:fill="D9D9D9"/>
            <w:vAlign w:val="center"/>
          </w:tcPr>
          <w:p w14:paraId="0F74B1F1">
            <w:pPr>
              <w:spacing w:line="360" w:lineRule="auto"/>
              <w:jc w:val="center"/>
              <w:rPr>
                <w:rFonts w:ascii="宋体" w:hAnsi="宋体" w:cs="宋体"/>
                <w:b/>
                <w:szCs w:val="21"/>
              </w:rPr>
            </w:pPr>
            <w:r>
              <w:rPr>
                <w:rFonts w:hint="eastAsia" w:ascii="宋体" w:hAnsi="宋体" w:cs="宋体"/>
                <w:b/>
                <w:szCs w:val="21"/>
              </w:rPr>
              <w:t>签约及完成时间</w:t>
            </w:r>
          </w:p>
        </w:tc>
        <w:tc>
          <w:tcPr>
            <w:tcW w:w="1656" w:type="dxa"/>
            <w:shd w:val="clear" w:color="auto" w:fill="D9D9D9"/>
            <w:vAlign w:val="center"/>
          </w:tcPr>
          <w:p w14:paraId="6F79A8AE">
            <w:pPr>
              <w:spacing w:line="360" w:lineRule="auto"/>
              <w:jc w:val="center"/>
              <w:rPr>
                <w:rFonts w:ascii="宋体" w:hAnsi="宋体" w:cs="宋体"/>
                <w:b/>
                <w:szCs w:val="21"/>
              </w:rPr>
            </w:pPr>
            <w:r>
              <w:rPr>
                <w:rFonts w:hint="eastAsia" w:ascii="宋体" w:hAnsi="宋体" w:cs="宋体"/>
                <w:b/>
                <w:szCs w:val="21"/>
              </w:rPr>
              <w:t>联系人及电话</w:t>
            </w:r>
          </w:p>
        </w:tc>
      </w:tr>
      <w:tr w14:paraId="36EC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1B1BC37F">
            <w:pPr>
              <w:spacing w:line="360" w:lineRule="auto"/>
              <w:jc w:val="center"/>
              <w:rPr>
                <w:rFonts w:ascii="宋体" w:hAnsi="宋体" w:cs="宋体"/>
                <w:szCs w:val="21"/>
              </w:rPr>
            </w:pPr>
            <w:r>
              <w:rPr>
                <w:rFonts w:hint="eastAsia" w:ascii="宋体" w:hAnsi="宋体" w:cs="宋体"/>
                <w:szCs w:val="21"/>
              </w:rPr>
              <w:t>1</w:t>
            </w:r>
          </w:p>
        </w:tc>
        <w:tc>
          <w:tcPr>
            <w:tcW w:w="1609" w:type="dxa"/>
            <w:vAlign w:val="center"/>
          </w:tcPr>
          <w:p w14:paraId="3EDEF0AD">
            <w:pPr>
              <w:spacing w:line="360" w:lineRule="auto"/>
              <w:jc w:val="center"/>
              <w:rPr>
                <w:rFonts w:ascii="宋体" w:hAnsi="宋体" w:cs="宋体"/>
                <w:szCs w:val="21"/>
              </w:rPr>
            </w:pPr>
          </w:p>
        </w:tc>
        <w:tc>
          <w:tcPr>
            <w:tcW w:w="2182" w:type="dxa"/>
          </w:tcPr>
          <w:p w14:paraId="2014D79F">
            <w:pPr>
              <w:spacing w:line="360" w:lineRule="auto"/>
              <w:jc w:val="center"/>
              <w:rPr>
                <w:rFonts w:ascii="宋体" w:hAnsi="宋体" w:cs="宋体"/>
                <w:szCs w:val="21"/>
              </w:rPr>
            </w:pPr>
          </w:p>
        </w:tc>
        <w:tc>
          <w:tcPr>
            <w:tcW w:w="1772" w:type="dxa"/>
            <w:vAlign w:val="center"/>
          </w:tcPr>
          <w:p w14:paraId="10326F4A">
            <w:pPr>
              <w:spacing w:line="360" w:lineRule="auto"/>
              <w:jc w:val="center"/>
              <w:rPr>
                <w:rFonts w:ascii="宋体" w:hAnsi="宋体" w:cs="宋体"/>
                <w:szCs w:val="21"/>
              </w:rPr>
            </w:pPr>
          </w:p>
        </w:tc>
        <w:tc>
          <w:tcPr>
            <w:tcW w:w="1787" w:type="dxa"/>
            <w:vAlign w:val="center"/>
          </w:tcPr>
          <w:p w14:paraId="21DD0C29">
            <w:pPr>
              <w:spacing w:line="360" w:lineRule="auto"/>
              <w:jc w:val="center"/>
              <w:rPr>
                <w:rFonts w:ascii="宋体" w:hAnsi="宋体" w:cs="宋体"/>
                <w:szCs w:val="21"/>
              </w:rPr>
            </w:pPr>
          </w:p>
        </w:tc>
        <w:tc>
          <w:tcPr>
            <w:tcW w:w="1656" w:type="dxa"/>
            <w:vAlign w:val="center"/>
          </w:tcPr>
          <w:p w14:paraId="313BA7DA">
            <w:pPr>
              <w:spacing w:line="360" w:lineRule="auto"/>
              <w:jc w:val="center"/>
              <w:rPr>
                <w:rFonts w:ascii="宋体" w:hAnsi="宋体" w:cs="宋体"/>
                <w:szCs w:val="21"/>
              </w:rPr>
            </w:pPr>
          </w:p>
        </w:tc>
      </w:tr>
      <w:tr w14:paraId="6520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0CBD288C">
            <w:pPr>
              <w:spacing w:line="360" w:lineRule="auto"/>
              <w:jc w:val="center"/>
              <w:rPr>
                <w:rFonts w:ascii="宋体" w:hAnsi="宋体" w:cs="宋体"/>
                <w:szCs w:val="21"/>
              </w:rPr>
            </w:pPr>
            <w:r>
              <w:rPr>
                <w:rFonts w:hint="eastAsia" w:ascii="宋体" w:hAnsi="宋体" w:cs="宋体"/>
                <w:szCs w:val="21"/>
              </w:rPr>
              <w:t>2</w:t>
            </w:r>
          </w:p>
        </w:tc>
        <w:tc>
          <w:tcPr>
            <w:tcW w:w="1609" w:type="dxa"/>
            <w:vAlign w:val="center"/>
          </w:tcPr>
          <w:p w14:paraId="19D6F73D">
            <w:pPr>
              <w:spacing w:line="360" w:lineRule="auto"/>
              <w:jc w:val="center"/>
              <w:rPr>
                <w:rFonts w:ascii="宋体" w:hAnsi="宋体" w:cs="宋体"/>
                <w:szCs w:val="21"/>
              </w:rPr>
            </w:pPr>
          </w:p>
        </w:tc>
        <w:tc>
          <w:tcPr>
            <w:tcW w:w="2182" w:type="dxa"/>
          </w:tcPr>
          <w:p w14:paraId="527FD037">
            <w:pPr>
              <w:spacing w:line="360" w:lineRule="auto"/>
              <w:jc w:val="center"/>
              <w:rPr>
                <w:rFonts w:ascii="宋体" w:hAnsi="宋体" w:cs="宋体"/>
                <w:szCs w:val="21"/>
              </w:rPr>
            </w:pPr>
          </w:p>
        </w:tc>
        <w:tc>
          <w:tcPr>
            <w:tcW w:w="1772" w:type="dxa"/>
            <w:vAlign w:val="center"/>
          </w:tcPr>
          <w:p w14:paraId="0A85ABBA">
            <w:pPr>
              <w:spacing w:line="360" w:lineRule="auto"/>
              <w:jc w:val="center"/>
              <w:rPr>
                <w:rFonts w:ascii="宋体" w:hAnsi="宋体" w:cs="宋体"/>
                <w:szCs w:val="21"/>
              </w:rPr>
            </w:pPr>
          </w:p>
        </w:tc>
        <w:tc>
          <w:tcPr>
            <w:tcW w:w="1787" w:type="dxa"/>
            <w:vAlign w:val="center"/>
          </w:tcPr>
          <w:p w14:paraId="710AE983">
            <w:pPr>
              <w:spacing w:line="360" w:lineRule="auto"/>
              <w:jc w:val="center"/>
              <w:rPr>
                <w:rFonts w:ascii="宋体" w:hAnsi="宋体" w:cs="宋体"/>
                <w:szCs w:val="21"/>
              </w:rPr>
            </w:pPr>
          </w:p>
        </w:tc>
        <w:tc>
          <w:tcPr>
            <w:tcW w:w="1656" w:type="dxa"/>
            <w:vAlign w:val="center"/>
          </w:tcPr>
          <w:p w14:paraId="7327F642">
            <w:pPr>
              <w:spacing w:line="360" w:lineRule="auto"/>
              <w:jc w:val="center"/>
              <w:rPr>
                <w:rFonts w:ascii="宋体" w:hAnsi="宋体" w:cs="宋体"/>
                <w:szCs w:val="21"/>
              </w:rPr>
            </w:pPr>
          </w:p>
        </w:tc>
      </w:tr>
      <w:tr w14:paraId="0C63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3F2759B7">
            <w:pPr>
              <w:spacing w:line="360" w:lineRule="auto"/>
              <w:jc w:val="center"/>
              <w:rPr>
                <w:rFonts w:ascii="宋体" w:hAnsi="宋体" w:cs="宋体"/>
                <w:szCs w:val="21"/>
              </w:rPr>
            </w:pPr>
            <w:r>
              <w:rPr>
                <w:rFonts w:hint="eastAsia" w:ascii="宋体" w:hAnsi="宋体" w:cs="宋体"/>
                <w:szCs w:val="21"/>
              </w:rPr>
              <w:t>3</w:t>
            </w:r>
          </w:p>
        </w:tc>
        <w:tc>
          <w:tcPr>
            <w:tcW w:w="1609" w:type="dxa"/>
            <w:vAlign w:val="center"/>
          </w:tcPr>
          <w:p w14:paraId="122D091D">
            <w:pPr>
              <w:spacing w:line="360" w:lineRule="auto"/>
              <w:jc w:val="center"/>
              <w:rPr>
                <w:rFonts w:ascii="宋体" w:hAnsi="宋体" w:cs="宋体"/>
                <w:szCs w:val="21"/>
              </w:rPr>
            </w:pPr>
          </w:p>
        </w:tc>
        <w:tc>
          <w:tcPr>
            <w:tcW w:w="2182" w:type="dxa"/>
          </w:tcPr>
          <w:p w14:paraId="3284BE15">
            <w:pPr>
              <w:spacing w:line="360" w:lineRule="auto"/>
              <w:jc w:val="center"/>
              <w:rPr>
                <w:rFonts w:ascii="宋体" w:hAnsi="宋体" w:cs="宋体"/>
                <w:szCs w:val="21"/>
              </w:rPr>
            </w:pPr>
          </w:p>
        </w:tc>
        <w:tc>
          <w:tcPr>
            <w:tcW w:w="1772" w:type="dxa"/>
            <w:vAlign w:val="center"/>
          </w:tcPr>
          <w:p w14:paraId="299F0242">
            <w:pPr>
              <w:spacing w:line="360" w:lineRule="auto"/>
              <w:jc w:val="center"/>
              <w:rPr>
                <w:rFonts w:ascii="宋体" w:hAnsi="宋体" w:cs="宋体"/>
                <w:szCs w:val="21"/>
              </w:rPr>
            </w:pPr>
          </w:p>
        </w:tc>
        <w:tc>
          <w:tcPr>
            <w:tcW w:w="1787" w:type="dxa"/>
            <w:vAlign w:val="center"/>
          </w:tcPr>
          <w:p w14:paraId="204EAAC9">
            <w:pPr>
              <w:spacing w:line="360" w:lineRule="auto"/>
              <w:jc w:val="center"/>
              <w:rPr>
                <w:rFonts w:ascii="宋体" w:hAnsi="宋体" w:cs="宋体"/>
                <w:szCs w:val="21"/>
              </w:rPr>
            </w:pPr>
          </w:p>
        </w:tc>
        <w:tc>
          <w:tcPr>
            <w:tcW w:w="1656" w:type="dxa"/>
            <w:vAlign w:val="center"/>
          </w:tcPr>
          <w:p w14:paraId="316F8129">
            <w:pPr>
              <w:spacing w:line="360" w:lineRule="auto"/>
              <w:jc w:val="center"/>
              <w:rPr>
                <w:rFonts w:ascii="宋体" w:hAnsi="宋体" w:cs="宋体"/>
                <w:szCs w:val="21"/>
              </w:rPr>
            </w:pPr>
          </w:p>
        </w:tc>
      </w:tr>
      <w:tr w14:paraId="096F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0DC7AED1">
            <w:pPr>
              <w:spacing w:line="360" w:lineRule="auto"/>
              <w:jc w:val="center"/>
              <w:rPr>
                <w:rFonts w:ascii="宋体" w:hAnsi="宋体" w:cs="宋体"/>
                <w:szCs w:val="21"/>
              </w:rPr>
            </w:pPr>
            <w:r>
              <w:rPr>
                <w:rFonts w:hint="eastAsia" w:ascii="宋体" w:hAnsi="宋体" w:cs="宋体"/>
                <w:szCs w:val="21"/>
              </w:rPr>
              <w:t>4</w:t>
            </w:r>
          </w:p>
        </w:tc>
        <w:tc>
          <w:tcPr>
            <w:tcW w:w="1609" w:type="dxa"/>
            <w:vAlign w:val="center"/>
          </w:tcPr>
          <w:p w14:paraId="1BA0B97B">
            <w:pPr>
              <w:spacing w:line="360" w:lineRule="auto"/>
              <w:jc w:val="center"/>
              <w:rPr>
                <w:rFonts w:ascii="宋体" w:hAnsi="宋体" w:cs="宋体"/>
                <w:szCs w:val="21"/>
              </w:rPr>
            </w:pPr>
          </w:p>
        </w:tc>
        <w:tc>
          <w:tcPr>
            <w:tcW w:w="2182" w:type="dxa"/>
          </w:tcPr>
          <w:p w14:paraId="79E34E6E">
            <w:pPr>
              <w:spacing w:line="360" w:lineRule="auto"/>
              <w:jc w:val="center"/>
              <w:rPr>
                <w:rFonts w:ascii="宋体" w:hAnsi="宋体" w:cs="宋体"/>
                <w:szCs w:val="21"/>
              </w:rPr>
            </w:pPr>
          </w:p>
        </w:tc>
        <w:tc>
          <w:tcPr>
            <w:tcW w:w="1772" w:type="dxa"/>
            <w:vAlign w:val="center"/>
          </w:tcPr>
          <w:p w14:paraId="209660CE">
            <w:pPr>
              <w:spacing w:line="360" w:lineRule="auto"/>
              <w:jc w:val="center"/>
              <w:rPr>
                <w:rFonts w:ascii="宋体" w:hAnsi="宋体" w:cs="宋体"/>
                <w:szCs w:val="21"/>
              </w:rPr>
            </w:pPr>
          </w:p>
        </w:tc>
        <w:tc>
          <w:tcPr>
            <w:tcW w:w="1787" w:type="dxa"/>
            <w:vAlign w:val="center"/>
          </w:tcPr>
          <w:p w14:paraId="42DB00E6">
            <w:pPr>
              <w:spacing w:line="360" w:lineRule="auto"/>
              <w:jc w:val="center"/>
              <w:rPr>
                <w:rFonts w:ascii="宋体" w:hAnsi="宋体" w:cs="宋体"/>
                <w:szCs w:val="21"/>
              </w:rPr>
            </w:pPr>
          </w:p>
        </w:tc>
        <w:tc>
          <w:tcPr>
            <w:tcW w:w="1656" w:type="dxa"/>
            <w:vAlign w:val="center"/>
          </w:tcPr>
          <w:p w14:paraId="7FA6D7C1">
            <w:pPr>
              <w:spacing w:line="360" w:lineRule="auto"/>
              <w:jc w:val="center"/>
              <w:rPr>
                <w:rFonts w:ascii="宋体" w:hAnsi="宋体" w:cs="宋体"/>
                <w:szCs w:val="21"/>
              </w:rPr>
            </w:pPr>
          </w:p>
        </w:tc>
      </w:tr>
      <w:tr w14:paraId="6E25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5BB3CDCD">
            <w:pPr>
              <w:spacing w:line="360" w:lineRule="auto"/>
              <w:jc w:val="center"/>
              <w:rPr>
                <w:rFonts w:ascii="宋体" w:hAnsi="宋体" w:cs="宋体"/>
                <w:szCs w:val="21"/>
              </w:rPr>
            </w:pPr>
            <w:r>
              <w:rPr>
                <w:rFonts w:hint="eastAsia" w:ascii="宋体" w:hAnsi="宋体" w:cs="宋体"/>
                <w:szCs w:val="21"/>
              </w:rPr>
              <w:t>5</w:t>
            </w:r>
          </w:p>
        </w:tc>
        <w:tc>
          <w:tcPr>
            <w:tcW w:w="1609" w:type="dxa"/>
            <w:vAlign w:val="center"/>
          </w:tcPr>
          <w:p w14:paraId="60112B66">
            <w:pPr>
              <w:spacing w:line="360" w:lineRule="auto"/>
              <w:jc w:val="center"/>
              <w:rPr>
                <w:rFonts w:ascii="宋体" w:hAnsi="宋体" w:cs="宋体"/>
                <w:szCs w:val="21"/>
              </w:rPr>
            </w:pPr>
          </w:p>
        </w:tc>
        <w:tc>
          <w:tcPr>
            <w:tcW w:w="2182" w:type="dxa"/>
          </w:tcPr>
          <w:p w14:paraId="781203B9">
            <w:pPr>
              <w:spacing w:line="360" w:lineRule="auto"/>
              <w:jc w:val="center"/>
              <w:rPr>
                <w:rFonts w:ascii="宋体" w:hAnsi="宋体" w:cs="宋体"/>
                <w:szCs w:val="21"/>
              </w:rPr>
            </w:pPr>
          </w:p>
        </w:tc>
        <w:tc>
          <w:tcPr>
            <w:tcW w:w="1772" w:type="dxa"/>
            <w:vAlign w:val="center"/>
          </w:tcPr>
          <w:p w14:paraId="2E6DCD13">
            <w:pPr>
              <w:spacing w:line="360" w:lineRule="auto"/>
              <w:jc w:val="center"/>
              <w:rPr>
                <w:rFonts w:ascii="宋体" w:hAnsi="宋体" w:cs="宋体"/>
                <w:szCs w:val="21"/>
              </w:rPr>
            </w:pPr>
          </w:p>
        </w:tc>
        <w:tc>
          <w:tcPr>
            <w:tcW w:w="1787" w:type="dxa"/>
            <w:vAlign w:val="center"/>
          </w:tcPr>
          <w:p w14:paraId="796A38E0">
            <w:pPr>
              <w:spacing w:line="360" w:lineRule="auto"/>
              <w:jc w:val="center"/>
              <w:rPr>
                <w:rFonts w:ascii="宋体" w:hAnsi="宋体" w:cs="宋体"/>
                <w:szCs w:val="21"/>
              </w:rPr>
            </w:pPr>
          </w:p>
        </w:tc>
        <w:tc>
          <w:tcPr>
            <w:tcW w:w="1656" w:type="dxa"/>
            <w:vAlign w:val="center"/>
          </w:tcPr>
          <w:p w14:paraId="7025CC4A">
            <w:pPr>
              <w:spacing w:line="360" w:lineRule="auto"/>
              <w:jc w:val="center"/>
              <w:rPr>
                <w:rFonts w:ascii="宋体" w:hAnsi="宋体" w:cs="宋体"/>
                <w:szCs w:val="21"/>
              </w:rPr>
            </w:pPr>
          </w:p>
        </w:tc>
      </w:tr>
      <w:tr w14:paraId="6CC7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33A266D6">
            <w:pPr>
              <w:spacing w:line="360" w:lineRule="auto"/>
              <w:jc w:val="center"/>
              <w:rPr>
                <w:rFonts w:ascii="宋体" w:hAnsi="宋体" w:cs="宋体"/>
                <w:szCs w:val="21"/>
              </w:rPr>
            </w:pPr>
            <w:r>
              <w:rPr>
                <w:rFonts w:hint="eastAsia" w:ascii="宋体" w:hAnsi="宋体" w:cs="宋体"/>
                <w:szCs w:val="21"/>
              </w:rPr>
              <w:t>6</w:t>
            </w:r>
          </w:p>
        </w:tc>
        <w:tc>
          <w:tcPr>
            <w:tcW w:w="1609" w:type="dxa"/>
            <w:vAlign w:val="center"/>
          </w:tcPr>
          <w:p w14:paraId="036273AA">
            <w:pPr>
              <w:spacing w:line="360" w:lineRule="auto"/>
              <w:jc w:val="center"/>
              <w:rPr>
                <w:rFonts w:ascii="宋体" w:hAnsi="宋体" w:cs="宋体"/>
                <w:szCs w:val="21"/>
              </w:rPr>
            </w:pPr>
          </w:p>
        </w:tc>
        <w:tc>
          <w:tcPr>
            <w:tcW w:w="2182" w:type="dxa"/>
          </w:tcPr>
          <w:p w14:paraId="347355A6">
            <w:pPr>
              <w:spacing w:line="360" w:lineRule="auto"/>
              <w:jc w:val="center"/>
              <w:rPr>
                <w:rFonts w:ascii="宋体" w:hAnsi="宋体" w:cs="宋体"/>
                <w:szCs w:val="21"/>
              </w:rPr>
            </w:pPr>
          </w:p>
        </w:tc>
        <w:tc>
          <w:tcPr>
            <w:tcW w:w="1772" w:type="dxa"/>
            <w:vAlign w:val="center"/>
          </w:tcPr>
          <w:p w14:paraId="2D8CBBE5">
            <w:pPr>
              <w:spacing w:line="360" w:lineRule="auto"/>
              <w:jc w:val="center"/>
              <w:rPr>
                <w:rFonts w:ascii="宋体" w:hAnsi="宋体" w:cs="宋体"/>
                <w:szCs w:val="21"/>
              </w:rPr>
            </w:pPr>
          </w:p>
        </w:tc>
        <w:tc>
          <w:tcPr>
            <w:tcW w:w="1787" w:type="dxa"/>
            <w:vAlign w:val="center"/>
          </w:tcPr>
          <w:p w14:paraId="2BC784BC">
            <w:pPr>
              <w:spacing w:line="360" w:lineRule="auto"/>
              <w:jc w:val="center"/>
              <w:rPr>
                <w:rFonts w:ascii="宋体" w:hAnsi="宋体" w:cs="宋体"/>
                <w:szCs w:val="21"/>
              </w:rPr>
            </w:pPr>
          </w:p>
        </w:tc>
        <w:tc>
          <w:tcPr>
            <w:tcW w:w="1656" w:type="dxa"/>
            <w:vAlign w:val="center"/>
          </w:tcPr>
          <w:p w14:paraId="42AF01C9">
            <w:pPr>
              <w:spacing w:line="360" w:lineRule="auto"/>
              <w:jc w:val="center"/>
              <w:rPr>
                <w:rFonts w:ascii="宋体" w:hAnsi="宋体" w:cs="宋体"/>
                <w:szCs w:val="21"/>
              </w:rPr>
            </w:pPr>
          </w:p>
        </w:tc>
      </w:tr>
      <w:tr w14:paraId="28E3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69FF42B0">
            <w:pPr>
              <w:spacing w:line="360" w:lineRule="auto"/>
              <w:jc w:val="center"/>
              <w:rPr>
                <w:rFonts w:ascii="宋体" w:hAnsi="宋体" w:cs="宋体"/>
                <w:szCs w:val="21"/>
              </w:rPr>
            </w:pPr>
            <w:r>
              <w:rPr>
                <w:rFonts w:hint="eastAsia" w:ascii="宋体" w:hAnsi="宋体" w:cs="宋体"/>
                <w:szCs w:val="21"/>
              </w:rPr>
              <w:t>7</w:t>
            </w:r>
          </w:p>
        </w:tc>
        <w:tc>
          <w:tcPr>
            <w:tcW w:w="1609" w:type="dxa"/>
            <w:vAlign w:val="center"/>
          </w:tcPr>
          <w:p w14:paraId="71FF0620">
            <w:pPr>
              <w:spacing w:line="360" w:lineRule="auto"/>
              <w:jc w:val="center"/>
              <w:rPr>
                <w:rFonts w:ascii="宋体" w:hAnsi="宋体" w:cs="宋体"/>
                <w:szCs w:val="21"/>
              </w:rPr>
            </w:pPr>
          </w:p>
        </w:tc>
        <w:tc>
          <w:tcPr>
            <w:tcW w:w="2182" w:type="dxa"/>
          </w:tcPr>
          <w:p w14:paraId="4F6D3F90">
            <w:pPr>
              <w:spacing w:line="360" w:lineRule="auto"/>
              <w:jc w:val="center"/>
              <w:rPr>
                <w:rFonts w:ascii="宋体" w:hAnsi="宋体" w:cs="宋体"/>
                <w:szCs w:val="21"/>
              </w:rPr>
            </w:pPr>
          </w:p>
        </w:tc>
        <w:tc>
          <w:tcPr>
            <w:tcW w:w="1772" w:type="dxa"/>
            <w:vAlign w:val="center"/>
          </w:tcPr>
          <w:p w14:paraId="6D010EA7">
            <w:pPr>
              <w:spacing w:line="360" w:lineRule="auto"/>
              <w:jc w:val="center"/>
              <w:rPr>
                <w:rFonts w:ascii="宋体" w:hAnsi="宋体" w:cs="宋体"/>
                <w:szCs w:val="21"/>
              </w:rPr>
            </w:pPr>
          </w:p>
        </w:tc>
        <w:tc>
          <w:tcPr>
            <w:tcW w:w="1787" w:type="dxa"/>
            <w:vAlign w:val="center"/>
          </w:tcPr>
          <w:p w14:paraId="5BC393F0">
            <w:pPr>
              <w:spacing w:line="360" w:lineRule="auto"/>
              <w:jc w:val="center"/>
              <w:rPr>
                <w:rFonts w:ascii="宋体" w:hAnsi="宋体" w:cs="宋体"/>
                <w:szCs w:val="21"/>
              </w:rPr>
            </w:pPr>
          </w:p>
        </w:tc>
        <w:tc>
          <w:tcPr>
            <w:tcW w:w="1656" w:type="dxa"/>
            <w:vAlign w:val="center"/>
          </w:tcPr>
          <w:p w14:paraId="6750E751">
            <w:pPr>
              <w:spacing w:line="360" w:lineRule="auto"/>
              <w:jc w:val="center"/>
              <w:rPr>
                <w:rFonts w:ascii="宋体" w:hAnsi="宋体" w:cs="宋体"/>
                <w:szCs w:val="21"/>
              </w:rPr>
            </w:pPr>
          </w:p>
        </w:tc>
      </w:tr>
      <w:tr w14:paraId="554A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2AB7E9E9">
            <w:pPr>
              <w:spacing w:line="360" w:lineRule="auto"/>
              <w:jc w:val="center"/>
              <w:rPr>
                <w:rFonts w:ascii="宋体" w:hAnsi="宋体" w:cs="宋体"/>
                <w:szCs w:val="21"/>
              </w:rPr>
            </w:pPr>
            <w:r>
              <w:rPr>
                <w:rFonts w:hint="eastAsia" w:ascii="宋体" w:hAnsi="宋体" w:cs="宋体"/>
                <w:szCs w:val="21"/>
              </w:rPr>
              <w:t>8</w:t>
            </w:r>
          </w:p>
        </w:tc>
        <w:tc>
          <w:tcPr>
            <w:tcW w:w="1609" w:type="dxa"/>
            <w:vAlign w:val="center"/>
          </w:tcPr>
          <w:p w14:paraId="7D5843D3">
            <w:pPr>
              <w:spacing w:line="360" w:lineRule="auto"/>
              <w:jc w:val="center"/>
              <w:rPr>
                <w:rFonts w:ascii="宋体" w:hAnsi="宋体" w:cs="宋体"/>
                <w:szCs w:val="21"/>
              </w:rPr>
            </w:pPr>
          </w:p>
        </w:tc>
        <w:tc>
          <w:tcPr>
            <w:tcW w:w="2182" w:type="dxa"/>
          </w:tcPr>
          <w:p w14:paraId="4E065117">
            <w:pPr>
              <w:spacing w:line="360" w:lineRule="auto"/>
              <w:jc w:val="center"/>
              <w:rPr>
                <w:rFonts w:ascii="宋体" w:hAnsi="宋体" w:cs="宋体"/>
                <w:szCs w:val="21"/>
              </w:rPr>
            </w:pPr>
          </w:p>
        </w:tc>
        <w:tc>
          <w:tcPr>
            <w:tcW w:w="1772" w:type="dxa"/>
            <w:vAlign w:val="center"/>
          </w:tcPr>
          <w:p w14:paraId="47F2F4BE">
            <w:pPr>
              <w:spacing w:line="360" w:lineRule="auto"/>
              <w:jc w:val="center"/>
              <w:rPr>
                <w:rFonts w:ascii="宋体" w:hAnsi="宋体" w:cs="宋体"/>
                <w:szCs w:val="21"/>
              </w:rPr>
            </w:pPr>
          </w:p>
        </w:tc>
        <w:tc>
          <w:tcPr>
            <w:tcW w:w="1787" w:type="dxa"/>
            <w:vAlign w:val="center"/>
          </w:tcPr>
          <w:p w14:paraId="7F8AB5CE">
            <w:pPr>
              <w:spacing w:line="360" w:lineRule="auto"/>
              <w:jc w:val="center"/>
              <w:rPr>
                <w:rFonts w:ascii="宋体" w:hAnsi="宋体" w:cs="宋体"/>
                <w:szCs w:val="21"/>
              </w:rPr>
            </w:pPr>
          </w:p>
        </w:tc>
        <w:tc>
          <w:tcPr>
            <w:tcW w:w="1656" w:type="dxa"/>
            <w:vAlign w:val="center"/>
          </w:tcPr>
          <w:p w14:paraId="40002893">
            <w:pPr>
              <w:spacing w:line="360" w:lineRule="auto"/>
              <w:jc w:val="center"/>
              <w:rPr>
                <w:rFonts w:ascii="宋体" w:hAnsi="宋体" w:cs="宋体"/>
                <w:szCs w:val="21"/>
              </w:rPr>
            </w:pPr>
          </w:p>
        </w:tc>
      </w:tr>
      <w:tr w14:paraId="2228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4E7AFB42">
            <w:pPr>
              <w:spacing w:line="360" w:lineRule="auto"/>
              <w:jc w:val="center"/>
              <w:rPr>
                <w:rFonts w:ascii="宋体" w:hAnsi="宋体" w:cs="宋体"/>
                <w:szCs w:val="21"/>
              </w:rPr>
            </w:pPr>
            <w:r>
              <w:rPr>
                <w:rFonts w:hint="eastAsia" w:ascii="宋体" w:hAnsi="宋体" w:cs="宋体"/>
                <w:szCs w:val="21"/>
              </w:rPr>
              <w:t>9</w:t>
            </w:r>
          </w:p>
        </w:tc>
        <w:tc>
          <w:tcPr>
            <w:tcW w:w="1609" w:type="dxa"/>
            <w:vAlign w:val="center"/>
          </w:tcPr>
          <w:p w14:paraId="54A4DA95">
            <w:pPr>
              <w:spacing w:line="360" w:lineRule="auto"/>
              <w:jc w:val="center"/>
              <w:rPr>
                <w:rFonts w:ascii="宋体" w:hAnsi="宋体" w:cs="宋体"/>
                <w:szCs w:val="21"/>
              </w:rPr>
            </w:pPr>
          </w:p>
        </w:tc>
        <w:tc>
          <w:tcPr>
            <w:tcW w:w="2182" w:type="dxa"/>
          </w:tcPr>
          <w:p w14:paraId="4A8F974C">
            <w:pPr>
              <w:spacing w:line="360" w:lineRule="auto"/>
              <w:jc w:val="center"/>
              <w:rPr>
                <w:rFonts w:ascii="宋体" w:hAnsi="宋体" w:cs="宋体"/>
                <w:szCs w:val="21"/>
              </w:rPr>
            </w:pPr>
          </w:p>
        </w:tc>
        <w:tc>
          <w:tcPr>
            <w:tcW w:w="1772" w:type="dxa"/>
            <w:vAlign w:val="center"/>
          </w:tcPr>
          <w:p w14:paraId="4659A570">
            <w:pPr>
              <w:spacing w:line="360" w:lineRule="auto"/>
              <w:jc w:val="center"/>
              <w:rPr>
                <w:rFonts w:ascii="宋体" w:hAnsi="宋体" w:cs="宋体"/>
                <w:szCs w:val="21"/>
              </w:rPr>
            </w:pPr>
          </w:p>
        </w:tc>
        <w:tc>
          <w:tcPr>
            <w:tcW w:w="1787" w:type="dxa"/>
            <w:vAlign w:val="center"/>
          </w:tcPr>
          <w:p w14:paraId="4E4B2943">
            <w:pPr>
              <w:spacing w:line="360" w:lineRule="auto"/>
              <w:jc w:val="center"/>
              <w:rPr>
                <w:rFonts w:ascii="宋体" w:hAnsi="宋体" w:cs="宋体"/>
                <w:szCs w:val="21"/>
              </w:rPr>
            </w:pPr>
          </w:p>
        </w:tc>
        <w:tc>
          <w:tcPr>
            <w:tcW w:w="1656" w:type="dxa"/>
            <w:vAlign w:val="center"/>
          </w:tcPr>
          <w:p w14:paraId="2FA1986B">
            <w:pPr>
              <w:spacing w:line="360" w:lineRule="auto"/>
              <w:jc w:val="center"/>
              <w:rPr>
                <w:rFonts w:ascii="宋体" w:hAnsi="宋体" w:cs="宋体"/>
                <w:szCs w:val="21"/>
              </w:rPr>
            </w:pPr>
          </w:p>
        </w:tc>
      </w:tr>
      <w:tr w14:paraId="6E3C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vAlign w:val="center"/>
          </w:tcPr>
          <w:p w14:paraId="1B38037B">
            <w:pPr>
              <w:spacing w:line="360" w:lineRule="auto"/>
              <w:jc w:val="center"/>
              <w:rPr>
                <w:rFonts w:ascii="宋体" w:hAnsi="宋体" w:cs="宋体"/>
                <w:szCs w:val="21"/>
              </w:rPr>
            </w:pPr>
            <w:r>
              <w:rPr>
                <w:rFonts w:hint="eastAsia" w:ascii="宋体" w:hAnsi="宋体" w:cs="宋体"/>
                <w:szCs w:val="21"/>
              </w:rPr>
              <w:t>10</w:t>
            </w:r>
          </w:p>
        </w:tc>
        <w:tc>
          <w:tcPr>
            <w:tcW w:w="1609" w:type="dxa"/>
            <w:vAlign w:val="center"/>
          </w:tcPr>
          <w:p w14:paraId="411524F8">
            <w:pPr>
              <w:spacing w:line="360" w:lineRule="auto"/>
              <w:jc w:val="center"/>
              <w:rPr>
                <w:rFonts w:ascii="宋体" w:hAnsi="宋体" w:cs="宋体"/>
                <w:szCs w:val="21"/>
              </w:rPr>
            </w:pPr>
          </w:p>
        </w:tc>
        <w:tc>
          <w:tcPr>
            <w:tcW w:w="2182" w:type="dxa"/>
          </w:tcPr>
          <w:p w14:paraId="35E0E128">
            <w:pPr>
              <w:spacing w:line="360" w:lineRule="auto"/>
              <w:jc w:val="center"/>
              <w:rPr>
                <w:rFonts w:ascii="宋体" w:hAnsi="宋体" w:cs="宋体"/>
                <w:szCs w:val="21"/>
              </w:rPr>
            </w:pPr>
          </w:p>
        </w:tc>
        <w:tc>
          <w:tcPr>
            <w:tcW w:w="1772" w:type="dxa"/>
            <w:vAlign w:val="center"/>
          </w:tcPr>
          <w:p w14:paraId="0B868D96">
            <w:pPr>
              <w:spacing w:line="360" w:lineRule="auto"/>
              <w:jc w:val="center"/>
              <w:rPr>
                <w:rFonts w:ascii="宋体" w:hAnsi="宋体" w:cs="宋体"/>
                <w:szCs w:val="21"/>
              </w:rPr>
            </w:pPr>
          </w:p>
        </w:tc>
        <w:tc>
          <w:tcPr>
            <w:tcW w:w="1787" w:type="dxa"/>
            <w:vAlign w:val="center"/>
          </w:tcPr>
          <w:p w14:paraId="7E729874">
            <w:pPr>
              <w:spacing w:line="360" w:lineRule="auto"/>
              <w:jc w:val="center"/>
              <w:rPr>
                <w:rFonts w:ascii="宋体" w:hAnsi="宋体" w:cs="宋体"/>
                <w:szCs w:val="21"/>
              </w:rPr>
            </w:pPr>
          </w:p>
        </w:tc>
        <w:tc>
          <w:tcPr>
            <w:tcW w:w="1656" w:type="dxa"/>
            <w:vAlign w:val="center"/>
          </w:tcPr>
          <w:p w14:paraId="25C8362D">
            <w:pPr>
              <w:spacing w:line="360" w:lineRule="auto"/>
              <w:jc w:val="center"/>
              <w:rPr>
                <w:rFonts w:ascii="宋体" w:hAnsi="宋体" w:cs="宋体"/>
                <w:szCs w:val="21"/>
              </w:rPr>
            </w:pPr>
          </w:p>
        </w:tc>
      </w:tr>
    </w:tbl>
    <w:p w14:paraId="0B828169">
      <w:pPr>
        <w:spacing w:line="360" w:lineRule="auto"/>
        <w:ind w:firstLine="422" w:firstLineChars="200"/>
        <w:rPr>
          <w:rFonts w:ascii="宋体" w:hAnsi="宋体" w:cs="宋体"/>
          <w:b/>
          <w:bCs/>
          <w:szCs w:val="21"/>
        </w:rPr>
      </w:pPr>
      <w:r>
        <w:rPr>
          <w:rFonts w:hint="eastAsia" w:ascii="宋体" w:hAnsi="宋体" w:cs="宋体"/>
          <w:b/>
          <w:bCs/>
          <w:szCs w:val="21"/>
        </w:rPr>
        <w:t>注：根据《评标办法》的要求提交相应资料</w:t>
      </w:r>
    </w:p>
    <w:p w14:paraId="741F2963">
      <w:pPr>
        <w:spacing w:line="360" w:lineRule="auto"/>
        <w:rPr>
          <w:rFonts w:ascii="宋体" w:hAnsi="宋体" w:cs="宋体"/>
          <w:szCs w:val="21"/>
        </w:rPr>
      </w:pPr>
    </w:p>
    <w:p w14:paraId="5E532715">
      <w:pPr>
        <w:spacing w:line="360" w:lineRule="auto"/>
        <w:rPr>
          <w:rFonts w:ascii="宋体" w:hAnsi="宋体" w:cs="宋体"/>
          <w:szCs w:val="21"/>
        </w:rPr>
      </w:pPr>
    </w:p>
    <w:p w14:paraId="608475A6">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投标人法定代表人（或投标人授权代表）签字或盖章：</w:t>
      </w:r>
      <w:r>
        <w:rPr>
          <w:rFonts w:hint="eastAsia" w:ascii="宋体" w:hAnsi="宋体" w:cs="宋体"/>
          <w:szCs w:val="21"/>
          <w:u w:val="single"/>
        </w:rPr>
        <w:t xml:space="preserve">               </w:t>
      </w:r>
    </w:p>
    <w:p w14:paraId="45F4006F">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投标人名称（盖章）：</w:t>
      </w:r>
      <w:r>
        <w:rPr>
          <w:rFonts w:hint="eastAsia" w:ascii="宋体" w:hAnsi="宋体" w:cs="宋体"/>
          <w:szCs w:val="21"/>
          <w:u w:val="single"/>
        </w:rPr>
        <w:t xml:space="preserve">                      </w:t>
      </w:r>
    </w:p>
    <w:p w14:paraId="792E1B07">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9A2EC78">
      <w:pPr>
        <w:spacing w:line="360" w:lineRule="auto"/>
        <w:rPr>
          <w:rFonts w:ascii="宋体" w:hAnsi="宋体" w:cs="宋体"/>
          <w:szCs w:val="21"/>
        </w:rPr>
      </w:pPr>
    </w:p>
    <w:p w14:paraId="673FC137">
      <w:pPr>
        <w:spacing w:line="360" w:lineRule="auto"/>
        <w:rPr>
          <w:rFonts w:ascii="宋体" w:hAnsi="宋体" w:cs="宋体"/>
          <w:szCs w:val="21"/>
        </w:rPr>
      </w:pPr>
    </w:p>
    <w:p w14:paraId="2C021E5F">
      <w:pPr>
        <w:pageBreakBefore/>
        <w:tabs>
          <w:tab w:val="left" w:pos="540"/>
        </w:tabs>
        <w:spacing w:line="360" w:lineRule="auto"/>
        <w:ind w:firstLine="422" w:firstLineChars="200"/>
        <w:rPr>
          <w:rFonts w:ascii="宋体" w:hAnsi="宋体" w:cs="宋体"/>
          <w:b/>
          <w:szCs w:val="21"/>
        </w:rPr>
      </w:pPr>
      <w:r>
        <w:rPr>
          <w:rFonts w:hint="eastAsia" w:ascii="宋体" w:hAnsi="宋体" w:cs="宋体"/>
          <w:b/>
          <w:szCs w:val="21"/>
        </w:rPr>
        <w:t>3.3拟投入本项目团队人员情况一览表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270"/>
        <w:gridCol w:w="1092"/>
        <w:gridCol w:w="1085"/>
        <w:gridCol w:w="1022"/>
        <w:gridCol w:w="873"/>
        <w:gridCol w:w="1126"/>
        <w:gridCol w:w="1783"/>
      </w:tblGrid>
      <w:tr w14:paraId="2CE2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1388" w:type="dxa"/>
            <w:shd w:val="clear" w:color="auto" w:fill="D9D9D9"/>
            <w:vAlign w:val="center"/>
          </w:tcPr>
          <w:p w14:paraId="4028A184">
            <w:pPr>
              <w:spacing w:line="360" w:lineRule="auto"/>
              <w:jc w:val="center"/>
              <w:rPr>
                <w:rFonts w:ascii="宋体" w:hAnsi="宋体" w:cs="宋体"/>
                <w:b/>
                <w:szCs w:val="21"/>
              </w:rPr>
            </w:pPr>
            <w:r>
              <w:rPr>
                <w:rFonts w:hint="eastAsia" w:ascii="宋体" w:hAnsi="宋体" w:cs="宋体"/>
                <w:b/>
                <w:szCs w:val="21"/>
              </w:rPr>
              <w:t>职责分工</w:t>
            </w:r>
          </w:p>
        </w:tc>
        <w:tc>
          <w:tcPr>
            <w:tcW w:w="1270" w:type="dxa"/>
            <w:shd w:val="clear" w:color="auto" w:fill="D9D9D9"/>
            <w:vAlign w:val="center"/>
          </w:tcPr>
          <w:p w14:paraId="0452FE25">
            <w:pPr>
              <w:spacing w:line="360" w:lineRule="auto"/>
              <w:jc w:val="center"/>
              <w:rPr>
                <w:rFonts w:ascii="宋体" w:hAnsi="宋体" w:cs="宋体"/>
                <w:b/>
                <w:szCs w:val="21"/>
              </w:rPr>
            </w:pPr>
            <w:r>
              <w:rPr>
                <w:rFonts w:hint="eastAsia" w:ascii="宋体" w:hAnsi="宋体" w:cs="宋体"/>
                <w:b/>
                <w:szCs w:val="21"/>
              </w:rPr>
              <w:t>姓名</w:t>
            </w:r>
          </w:p>
        </w:tc>
        <w:tc>
          <w:tcPr>
            <w:tcW w:w="1092" w:type="dxa"/>
            <w:shd w:val="clear" w:color="auto" w:fill="D9D9D9"/>
            <w:vAlign w:val="center"/>
          </w:tcPr>
          <w:p w14:paraId="45BFDF22">
            <w:pPr>
              <w:spacing w:line="360" w:lineRule="auto"/>
              <w:jc w:val="center"/>
              <w:rPr>
                <w:rFonts w:ascii="宋体" w:hAnsi="宋体" w:cs="宋体"/>
                <w:b/>
                <w:szCs w:val="21"/>
              </w:rPr>
            </w:pPr>
            <w:r>
              <w:rPr>
                <w:rFonts w:hint="eastAsia" w:ascii="宋体" w:hAnsi="宋体" w:cs="宋体"/>
                <w:b/>
                <w:szCs w:val="21"/>
              </w:rPr>
              <w:t>年龄</w:t>
            </w:r>
          </w:p>
        </w:tc>
        <w:tc>
          <w:tcPr>
            <w:tcW w:w="1085" w:type="dxa"/>
            <w:shd w:val="clear" w:color="auto" w:fill="D9D9D9"/>
            <w:vAlign w:val="center"/>
          </w:tcPr>
          <w:p w14:paraId="3EC4B3E0">
            <w:pPr>
              <w:spacing w:line="360" w:lineRule="auto"/>
              <w:jc w:val="center"/>
              <w:rPr>
                <w:rFonts w:ascii="宋体" w:hAnsi="宋体" w:cs="宋体"/>
                <w:b/>
                <w:szCs w:val="21"/>
              </w:rPr>
            </w:pPr>
            <w:r>
              <w:rPr>
                <w:rFonts w:hint="eastAsia" w:ascii="宋体" w:hAnsi="宋体" w:cs="宋体"/>
                <w:b/>
                <w:szCs w:val="21"/>
              </w:rPr>
              <w:t>学历</w:t>
            </w:r>
          </w:p>
        </w:tc>
        <w:tc>
          <w:tcPr>
            <w:tcW w:w="1022" w:type="dxa"/>
            <w:shd w:val="clear" w:color="auto" w:fill="D9D9D9"/>
            <w:vAlign w:val="center"/>
          </w:tcPr>
          <w:p w14:paraId="6698933D">
            <w:pPr>
              <w:spacing w:line="360" w:lineRule="auto"/>
              <w:jc w:val="center"/>
              <w:rPr>
                <w:rFonts w:ascii="宋体" w:hAnsi="宋体" w:cs="宋体"/>
                <w:b/>
                <w:szCs w:val="21"/>
              </w:rPr>
            </w:pPr>
            <w:r>
              <w:rPr>
                <w:rFonts w:hint="eastAsia" w:ascii="宋体" w:hAnsi="宋体" w:cs="宋体"/>
                <w:b/>
                <w:szCs w:val="21"/>
              </w:rPr>
              <w:t>职称</w:t>
            </w:r>
          </w:p>
        </w:tc>
        <w:tc>
          <w:tcPr>
            <w:tcW w:w="873" w:type="dxa"/>
            <w:shd w:val="clear" w:color="auto" w:fill="D9D9D9"/>
            <w:vAlign w:val="center"/>
          </w:tcPr>
          <w:p w14:paraId="0C5B197C">
            <w:pPr>
              <w:spacing w:line="360" w:lineRule="auto"/>
              <w:ind w:firstLine="12"/>
              <w:jc w:val="center"/>
              <w:rPr>
                <w:rFonts w:ascii="宋体" w:hAnsi="宋体" w:cs="宋体"/>
                <w:b/>
                <w:szCs w:val="21"/>
              </w:rPr>
            </w:pPr>
            <w:r>
              <w:rPr>
                <w:rFonts w:hint="eastAsia" w:ascii="宋体" w:hAnsi="宋体" w:cs="宋体"/>
                <w:b/>
                <w:szCs w:val="21"/>
              </w:rPr>
              <w:t>专业</w:t>
            </w:r>
          </w:p>
        </w:tc>
        <w:tc>
          <w:tcPr>
            <w:tcW w:w="1126" w:type="dxa"/>
            <w:shd w:val="clear" w:color="auto" w:fill="D9D9D9"/>
            <w:vAlign w:val="center"/>
          </w:tcPr>
          <w:p w14:paraId="7B451C70">
            <w:pPr>
              <w:spacing w:line="360" w:lineRule="auto"/>
              <w:ind w:firstLine="12"/>
              <w:jc w:val="center"/>
              <w:rPr>
                <w:rFonts w:ascii="宋体" w:hAnsi="宋体" w:cs="宋体"/>
                <w:b/>
                <w:szCs w:val="21"/>
              </w:rPr>
            </w:pPr>
            <w:r>
              <w:rPr>
                <w:rFonts w:hint="eastAsia" w:ascii="宋体" w:hAnsi="宋体" w:cs="宋体"/>
                <w:b/>
                <w:szCs w:val="21"/>
              </w:rPr>
              <w:t>经验年限</w:t>
            </w:r>
          </w:p>
        </w:tc>
        <w:tc>
          <w:tcPr>
            <w:tcW w:w="1783" w:type="dxa"/>
            <w:shd w:val="clear" w:color="auto" w:fill="D9D9D9"/>
            <w:vAlign w:val="center"/>
          </w:tcPr>
          <w:p w14:paraId="046D287F">
            <w:pPr>
              <w:spacing w:line="360" w:lineRule="auto"/>
              <w:ind w:firstLine="12"/>
              <w:jc w:val="center"/>
              <w:rPr>
                <w:rFonts w:ascii="宋体" w:hAnsi="宋体" w:cs="宋体"/>
                <w:b/>
                <w:szCs w:val="21"/>
              </w:rPr>
            </w:pPr>
            <w:r>
              <w:rPr>
                <w:rFonts w:hint="eastAsia" w:ascii="宋体" w:hAnsi="宋体" w:cs="宋体"/>
                <w:b/>
                <w:szCs w:val="21"/>
              </w:rPr>
              <w:t>拟担任职务或承担工作内容</w:t>
            </w:r>
          </w:p>
        </w:tc>
      </w:tr>
      <w:tr w14:paraId="030E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vAlign w:val="center"/>
          </w:tcPr>
          <w:p w14:paraId="437C4FC1">
            <w:pPr>
              <w:spacing w:line="360" w:lineRule="auto"/>
              <w:jc w:val="center"/>
              <w:rPr>
                <w:rFonts w:ascii="宋体" w:hAnsi="宋体" w:cs="宋体"/>
                <w:szCs w:val="21"/>
              </w:rPr>
            </w:pPr>
            <w:r>
              <w:rPr>
                <w:rFonts w:hint="eastAsia" w:ascii="宋体" w:hAnsi="宋体" w:cs="宋体"/>
                <w:szCs w:val="21"/>
              </w:rPr>
              <w:t>项目负责人</w:t>
            </w:r>
          </w:p>
        </w:tc>
        <w:tc>
          <w:tcPr>
            <w:tcW w:w="1270" w:type="dxa"/>
            <w:vAlign w:val="center"/>
          </w:tcPr>
          <w:p w14:paraId="040A4914">
            <w:pPr>
              <w:spacing w:line="360" w:lineRule="auto"/>
              <w:jc w:val="center"/>
              <w:rPr>
                <w:rFonts w:ascii="宋体" w:hAnsi="宋体" w:cs="宋体"/>
                <w:szCs w:val="21"/>
              </w:rPr>
            </w:pPr>
          </w:p>
        </w:tc>
        <w:tc>
          <w:tcPr>
            <w:tcW w:w="1092" w:type="dxa"/>
            <w:vAlign w:val="center"/>
          </w:tcPr>
          <w:p w14:paraId="198E1F7B">
            <w:pPr>
              <w:spacing w:line="360" w:lineRule="auto"/>
              <w:jc w:val="center"/>
              <w:rPr>
                <w:rFonts w:ascii="宋体" w:hAnsi="宋体" w:cs="宋体"/>
                <w:szCs w:val="21"/>
              </w:rPr>
            </w:pPr>
          </w:p>
        </w:tc>
        <w:tc>
          <w:tcPr>
            <w:tcW w:w="1085" w:type="dxa"/>
            <w:vAlign w:val="center"/>
          </w:tcPr>
          <w:p w14:paraId="2583A29A">
            <w:pPr>
              <w:pStyle w:val="27"/>
              <w:keepNext w:val="0"/>
              <w:adjustRightInd/>
              <w:spacing w:before="0" w:after="0" w:line="360" w:lineRule="auto"/>
              <w:textAlignment w:val="auto"/>
              <w:rPr>
                <w:rFonts w:ascii="宋体" w:hAnsi="宋体" w:cs="宋体"/>
                <w:snapToGrid/>
                <w:spacing w:val="0"/>
                <w:kern w:val="2"/>
                <w:sz w:val="21"/>
                <w:szCs w:val="21"/>
              </w:rPr>
            </w:pPr>
          </w:p>
        </w:tc>
        <w:tc>
          <w:tcPr>
            <w:tcW w:w="1022" w:type="dxa"/>
            <w:vAlign w:val="center"/>
          </w:tcPr>
          <w:p w14:paraId="691C3B57">
            <w:pPr>
              <w:spacing w:line="360" w:lineRule="auto"/>
              <w:jc w:val="center"/>
              <w:rPr>
                <w:rFonts w:ascii="宋体" w:hAnsi="宋体" w:cs="宋体"/>
                <w:szCs w:val="21"/>
              </w:rPr>
            </w:pPr>
          </w:p>
        </w:tc>
        <w:tc>
          <w:tcPr>
            <w:tcW w:w="873" w:type="dxa"/>
            <w:vAlign w:val="center"/>
          </w:tcPr>
          <w:p w14:paraId="0C860AB7">
            <w:pPr>
              <w:spacing w:line="360" w:lineRule="auto"/>
              <w:ind w:firstLine="12"/>
              <w:jc w:val="center"/>
              <w:rPr>
                <w:rFonts w:ascii="宋体" w:hAnsi="宋体" w:cs="宋体"/>
                <w:szCs w:val="21"/>
              </w:rPr>
            </w:pPr>
          </w:p>
        </w:tc>
        <w:tc>
          <w:tcPr>
            <w:tcW w:w="1126" w:type="dxa"/>
            <w:vAlign w:val="center"/>
          </w:tcPr>
          <w:p w14:paraId="2AF6615A">
            <w:pPr>
              <w:spacing w:line="360" w:lineRule="auto"/>
              <w:ind w:firstLine="12"/>
              <w:jc w:val="center"/>
              <w:rPr>
                <w:rFonts w:ascii="宋体" w:hAnsi="宋体" w:cs="宋体"/>
                <w:szCs w:val="21"/>
              </w:rPr>
            </w:pPr>
          </w:p>
        </w:tc>
        <w:tc>
          <w:tcPr>
            <w:tcW w:w="1783" w:type="dxa"/>
            <w:vAlign w:val="center"/>
          </w:tcPr>
          <w:p w14:paraId="25E6598B">
            <w:pPr>
              <w:spacing w:line="360" w:lineRule="auto"/>
              <w:ind w:firstLine="12"/>
              <w:jc w:val="center"/>
              <w:rPr>
                <w:rFonts w:ascii="宋体" w:hAnsi="宋体" w:cs="宋体"/>
                <w:szCs w:val="21"/>
              </w:rPr>
            </w:pPr>
          </w:p>
        </w:tc>
      </w:tr>
      <w:tr w14:paraId="031E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vMerge w:val="restart"/>
            <w:vAlign w:val="center"/>
          </w:tcPr>
          <w:p w14:paraId="49E7D50C">
            <w:pPr>
              <w:spacing w:line="360" w:lineRule="auto"/>
              <w:jc w:val="center"/>
              <w:rPr>
                <w:rFonts w:ascii="宋体" w:hAnsi="宋体" w:cs="宋体"/>
                <w:szCs w:val="21"/>
              </w:rPr>
            </w:pPr>
            <w:r>
              <w:rPr>
                <w:rFonts w:hint="eastAsia" w:ascii="宋体" w:hAnsi="宋体" w:cs="宋体"/>
                <w:szCs w:val="21"/>
              </w:rPr>
              <w:t>其他主要人员</w:t>
            </w:r>
          </w:p>
        </w:tc>
        <w:tc>
          <w:tcPr>
            <w:tcW w:w="1270" w:type="dxa"/>
            <w:vAlign w:val="center"/>
          </w:tcPr>
          <w:p w14:paraId="7765EEFA">
            <w:pPr>
              <w:spacing w:line="360" w:lineRule="auto"/>
              <w:jc w:val="center"/>
              <w:rPr>
                <w:rFonts w:ascii="宋体" w:hAnsi="宋体" w:cs="宋体"/>
                <w:szCs w:val="21"/>
              </w:rPr>
            </w:pPr>
          </w:p>
        </w:tc>
        <w:tc>
          <w:tcPr>
            <w:tcW w:w="1092" w:type="dxa"/>
            <w:vAlign w:val="center"/>
          </w:tcPr>
          <w:p w14:paraId="02EF0BDD">
            <w:pPr>
              <w:spacing w:line="360" w:lineRule="auto"/>
              <w:jc w:val="center"/>
              <w:rPr>
                <w:rFonts w:ascii="宋体" w:hAnsi="宋体" w:cs="宋体"/>
                <w:szCs w:val="21"/>
              </w:rPr>
            </w:pPr>
          </w:p>
        </w:tc>
        <w:tc>
          <w:tcPr>
            <w:tcW w:w="1085" w:type="dxa"/>
            <w:vAlign w:val="center"/>
          </w:tcPr>
          <w:p w14:paraId="292A44E1">
            <w:pPr>
              <w:pStyle w:val="27"/>
              <w:keepNext w:val="0"/>
              <w:adjustRightInd/>
              <w:spacing w:before="0" w:after="0" w:line="360" w:lineRule="auto"/>
              <w:textAlignment w:val="auto"/>
              <w:rPr>
                <w:rFonts w:ascii="宋体" w:hAnsi="宋体" w:cs="宋体"/>
                <w:snapToGrid/>
                <w:spacing w:val="0"/>
                <w:kern w:val="2"/>
                <w:sz w:val="21"/>
                <w:szCs w:val="21"/>
              </w:rPr>
            </w:pPr>
          </w:p>
        </w:tc>
        <w:tc>
          <w:tcPr>
            <w:tcW w:w="1022" w:type="dxa"/>
            <w:vAlign w:val="center"/>
          </w:tcPr>
          <w:p w14:paraId="5BE3AB32">
            <w:pPr>
              <w:spacing w:line="360" w:lineRule="auto"/>
              <w:jc w:val="center"/>
              <w:rPr>
                <w:rFonts w:ascii="宋体" w:hAnsi="宋体" w:cs="宋体"/>
                <w:szCs w:val="21"/>
              </w:rPr>
            </w:pPr>
          </w:p>
        </w:tc>
        <w:tc>
          <w:tcPr>
            <w:tcW w:w="873" w:type="dxa"/>
            <w:vAlign w:val="center"/>
          </w:tcPr>
          <w:p w14:paraId="7791863D">
            <w:pPr>
              <w:spacing w:line="360" w:lineRule="auto"/>
              <w:ind w:firstLine="12"/>
              <w:jc w:val="center"/>
              <w:rPr>
                <w:rFonts w:ascii="宋体" w:hAnsi="宋体" w:cs="宋体"/>
                <w:szCs w:val="21"/>
              </w:rPr>
            </w:pPr>
          </w:p>
        </w:tc>
        <w:tc>
          <w:tcPr>
            <w:tcW w:w="1126" w:type="dxa"/>
            <w:vAlign w:val="center"/>
          </w:tcPr>
          <w:p w14:paraId="2CAA82DA">
            <w:pPr>
              <w:spacing w:line="360" w:lineRule="auto"/>
              <w:ind w:firstLine="12"/>
              <w:jc w:val="center"/>
              <w:rPr>
                <w:rFonts w:ascii="宋体" w:hAnsi="宋体" w:cs="宋体"/>
                <w:szCs w:val="21"/>
              </w:rPr>
            </w:pPr>
          </w:p>
        </w:tc>
        <w:tc>
          <w:tcPr>
            <w:tcW w:w="1783" w:type="dxa"/>
            <w:vAlign w:val="center"/>
          </w:tcPr>
          <w:p w14:paraId="4402F577">
            <w:pPr>
              <w:spacing w:line="360" w:lineRule="auto"/>
              <w:ind w:firstLine="12"/>
              <w:jc w:val="center"/>
              <w:rPr>
                <w:rFonts w:ascii="宋体" w:hAnsi="宋体" w:cs="宋体"/>
                <w:szCs w:val="21"/>
              </w:rPr>
            </w:pPr>
          </w:p>
        </w:tc>
      </w:tr>
      <w:tr w14:paraId="5F02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vMerge w:val="continue"/>
            <w:vAlign w:val="center"/>
          </w:tcPr>
          <w:p w14:paraId="60FABAEE">
            <w:pPr>
              <w:spacing w:line="360" w:lineRule="auto"/>
              <w:jc w:val="center"/>
              <w:rPr>
                <w:rFonts w:ascii="宋体" w:hAnsi="宋体" w:cs="宋体"/>
                <w:szCs w:val="21"/>
              </w:rPr>
            </w:pPr>
          </w:p>
        </w:tc>
        <w:tc>
          <w:tcPr>
            <w:tcW w:w="1270" w:type="dxa"/>
            <w:vAlign w:val="center"/>
          </w:tcPr>
          <w:p w14:paraId="37787C6D">
            <w:pPr>
              <w:spacing w:line="360" w:lineRule="auto"/>
              <w:jc w:val="center"/>
              <w:rPr>
                <w:rFonts w:ascii="宋体" w:hAnsi="宋体" w:cs="宋体"/>
                <w:szCs w:val="21"/>
              </w:rPr>
            </w:pPr>
          </w:p>
        </w:tc>
        <w:tc>
          <w:tcPr>
            <w:tcW w:w="1092" w:type="dxa"/>
            <w:vAlign w:val="center"/>
          </w:tcPr>
          <w:p w14:paraId="7BCCF43B">
            <w:pPr>
              <w:spacing w:line="360" w:lineRule="auto"/>
              <w:jc w:val="center"/>
              <w:rPr>
                <w:rFonts w:ascii="宋体" w:hAnsi="宋体" w:cs="宋体"/>
                <w:szCs w:val="21"/>
              </w:rPr>
            </w:pPr>
          </w:p>
        </w:tc>
        <w:tc>
          <w:tcPr>
            <w:tcW w:w="1085" w:type="dxa"/>
            <w:vAlign w:val="center"/>
          </w:tcPr>
          <w:p w14:paraId="1F2CFD25">
            <w:pPr>
              <w:pStyle w:val="27"/>
              <w:keepNext w:val="0"/>
              <w:adjustRightInd/>
              <w:spacing w:before="0" w:after="0" w:line="360" w:lineRule="auto"/>
              <w:textAlignment w:val="auto"/>
              <w:rPr>
                <w:rFonts w:ascii="宋体" w:hAnsi="宋体" w:cs="宋体"/>
                <w:snapToGrid/>
                <w:spacing w:val="0"/>
                <w:kern w:val="2"/>
                <w:sz w:val="21"/>
                <w:szCs w:val="21"/>
              </w:rPr>
            </w:pPr>
          </w:p>
        </w:tc>
        <w:tc>
          <w:tcPr>
            <w:tcW w:w="1022" w:type="dxa"/>
            <w:vAlign w:val="center"/>
          </w:tcPr>
          <w:p w14:paraId="505C73CB">
            <w:pPr>
              <w:spacing w:line="360" w:lineRule="auto"/>
              <w:jc w:val="center"/>
              <w:rPr>
                <w:rFonts w:ascii="宋体" w:hAnsi="宋体" w:cs="宋体"/>
                <w:szCs w:val="21"/>
              </w:rPr>
            </w:pPr>
          </w:p>
        </w:tc>
        <w:tc>
          <w:tcPr>
            <w:tcW w:w="873" w:type="dxa"/>
            <w:vAlign w:val="center"/>
          </w:tcPr>
          <w:p w14:paraId="000FA04D">
            <w:pPr>
              <w:spacing w:line="360" w:lineRule="auto"/>
              <w:ind w:firstLine="12"/>
              <w:jc w:val="center"/>
              <w:rPr>
                <w:rFonts w:ascii="宋体" w:hAnsi="宋体" w:cs="宋体"/>
                <w:szCs w:val="21"/>
              </w:rPr>
            </w:pPr>
          </w:p>
        </w:tc>
        <w:tc>
          <w:tcPr>
            <w:tcW w:w="1126" w:type="dxa"/>
            <w:vAlign w:val="center"/>
          </w:tcPr>
          <w:p w14:paraId="60EF9BF9">
            <w:pPr>
              <w:spacing w:line="360" w:lineRule="auto"/>
              <w:ind w:firstLine="12"/>
              <w:jc w:val="center"/>
              <w:rPr>
                <w:rFonts w:ascii="宋体" w:hAnsi="宋体" w:cs="宋体"/>
                <w:szCs w:val="21"/>
              </w:rPr>
            </w:pPr>
          </w:p>
        </w:tc>
        <w:tc>
          <w:tcPr>
            <w:tcW w:w="1783" w:type="dxa"/>
            <w:vAlign w:val="center"/>
          </w:tcPr>
          <w:p w14:paraId="7FC37C30">
            <w:pPr>
              <w:spacing w:line="360" w:lineRule="auto"/>
              <w:ind w:firstLine="12"/>
              <w:jc w:val="center"/>
              <w:rPr>
                <w:rFonts w:ascii="宋体" w:hAnsi="宋体" w:cs="宋体"/>
                <w:szCs w:val="21"/>
              </w:rPr>
            </w:pPr>
          </w:p>
        </w:tc>
      </w:tr>
      <w:tr w14:paraId="62A4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vMerge w:val="continue"/>
            <w:vAlign w:val="center"/>
          </w:tcPr>
          <w:p w14:paraId="0FCECA76">
            <w:pPr>
              <w:spacing w:line="360" w:lineRule="auto"/>
              <w:jc w:val="center"/>
              <w:rPr>
                <w:rFonts w:ascii="宋体" w:hAnsi="宋体" w:cs="宋体"/>
                <w:szCs w:val="21"/>
              </w:rPr>
            </w:pPr>
          </w:p>
        </w:tc>
        <w:tc>
          <w:tcPr>
            <w:tcW w:w="1270" w:type="dxa"/>
            <w:vAlign w:val="center"/>
          </w:tcPr>
          <w:p w14:paraId="52AA0658">
            <w:pPr>
              <w:spacing w:line="360" w:lineRule="auto"/>
              <w:jc w:val="center"/>
              <w:rPr>
                <w:rFonts w:ascii="宋体" w:hAnsi="宋体" w:cs="宋体"/>
                <w:szCs w:val="21"/>
              </w:rPr>
            </w:pPr>
          </w:p>
        </w:tc>
        <w:tc>
          <w:tcPr>
            <w:tcW w:w="1092" w:type="dxa"/>
            <w:vAlign w:val="center"/>
          </w:tcPr>
          <w:p w14:paraId="598B96BD">
            <w:pPr>
              <w:spacing w:line="360" w:lineRule="auto"/>
              <w:jc w:val="center"/>
              <w:rPr>
                <w:rFonts w:ascii="宋体" w:hAnsi="宋体" w:cs="宋体"/>
                <w:szCs w:val="21"/>
              </w:rPr>
            </w:pPr>
          </w:p>
        </w:tc>
        <w:tc>
          <w:tcPr>
            <w:tcW w:w="1085" w:type="dxa"/>
            <w:vAlign w:val="center"/>
          </w:tcPr>
          <w:p w14:paraId="1AF06760">
            <w:pPr>
              <w:pStyle w:val="27"/>
              <w:keepNext w:val="0"/>
              <w:adjustRightInd/>
              <w:spacing w:before="0" w:after="0" w:line="360" w:lineRule="auto"/>
              <w:textAlignment w:val="auto"/>
              <w:rPr>
                <w:rFonts w:ascii="宋体" w:hAnsi="宋体" w:cs="宋体"/>
                <w:snapToGrid/>
                <w:spacing w:val="0"/>
                <w:kern w:val="2"/>
                <w:sz w:val="21"/>
                <w:szCs w:val="21"/>
              </w:rPr>
            </w:pPr>
          </w:p>
        </w:tc>
        <w:tc>
          <w:tcPr>
            <w:tcW w:w="1022" w:type="dxa"/>
            <w:vAlign w:val="center"/>
          </w:tcPr>
          <w:p w14:paraId="1D89AF82">
            <w:pPr>
              <w:spacing w:line="360" w:lineRule="auto"/>
              <w:jc w:val="center"/>
              <w:rPr>
                <w:rFonts w:ascii="宋体" w:hAnsi="宋体" w:cs="宋体"/>
                <w:szCs w:val="21"/>
              </w:rPr>
            </w:pPr>
          </w:p>
        </w:tc>
        <w:tc>
          <w:tcPr>
            <w:tcW w:w="873" w:type="dxa"/>
            <w:vAlign w:val="center"/>
          </w:tcPr>
          <w:p w14:paraId="7D579AC9">
            <w:pPr>
              <w:spacing w:line="360" w:lineRule="auto"/>
              <w:ind w:firstLine="12"/>
              <w:jc w:val="center"/>
              <w:rPr>
                <w:rFonts w:ascii="宋体" w:hAnsi="宋体" w:cs="宋体"/>
                <w:szCs w:val="21"/>
              </w:rPr>
            </w:pPr>
          </w:p>
        </w:tc>
        <w:tc>
          <w:tcPr>
            <w:tcW w:w="1126" w:type="dxa"/>
            <w:vAlign w:val="center"/>
          </w:tcPr>
          <w:p w14:paraId="72368A60">
            <w:pPr>
              <w:spacing w:line="360" w:lineRule="auto"/>
              <w:ind w:firstLine="12"/>
              <w:jc w:val="center"/>
              <w:rPr>
                <w:rFonts w:ascii="宋体" w:hAnsi="宋体" w:cs="宋体"/>
                <w:szCs w:val="21"/>
              </w:rPr>
            </w:pPr>
          </w:p>
        </w:tc>
        <w:tc>
          <w:tcPr>
            <w:tcW w:w="1783" w:type="dxa"/>
            <w:vAlign w:val="center"/>
          </w:tcPr>
          <w:p w14:paraId="4D0EE03B">
            <w:pPr>
              <w:spacing w:line="360" w:lineRule="auto"/>
              <w:ind w:firstLine="12"/>
              <w:jc w:val="center"/>
              <w:rPr>
                <w:rFonts w:ascii="宋体" w:hAnsi="宋体" w:cs="宋体"/>
                <w:szCs w:val="21"/>
              </w:rPr>
            </w:pPr>
          </w:p>
        </w:tc>
      </w:tr>
      <w:tr w14:paraId="7490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vMerge w:val="continue"/>
            <w:vAlign w:val="center"/>
          </w:tcPr>
          <w:p w14:paraId="33344851">
            <w:pPr>
              <w:spacing w:line="360" w:lineRule="auto"/>
              <w:jc w:val="center"/>
              <w:rPr>
                <w:rFonts w:ascii="宋体" w:hAnsi="宋体" w:cs="宋体"/>
                <w:szCs w:val="21"/>
              </w:rPr>
            </w:pPr>
          </w:p>
        </w:tc>
        <w:tc>
          <w:tcPr>
            <w:tcW w:w="1270" w:type="dxa"/>
            <w:vAlign w:val="center"/>
          </w:tcPr>
          <w:p w14:paraId="73937425">
            <w:pPr>
              <w:spacing w:line="360" w:lineRule="auto"/>
              <w:jc w:val="center"/>
              <w:rPr>
                <w:rFonts w:ascii="宋体" w:hAnsi="宋体" w:cs="宋体"/>
                <w:szCs w:val="21"/>
              </w:rPr>
            </w:pPr>
          </w:p>
        </w:tc>
        <w:tc>
          <w:tcPr>
            <w:tcW w:w="1092" w:type="dxa"/>
            <w:vAlign w:val="center"/>
          </w:tcPr>
          <w:p w14:paraId="435BC435">
            <w:pPr>
              <w:spacing w:line="360" w:lineRule="auto"/>
              <w:jc w:val="center"/>
              <w:rPr>
                <w:rFonts w:ascii="宋体" w:hAnsi="宋体" w:cs="宋体"/>
                <w:szCs w:val="21"/>
              </w:rPr>
            </w:pPr>
          </w:p>
        </w:tc>
        <w:tc>
          <w:tcPr>
            <w:tcW w:w="1085" w:type="dxa"/>
            <w:vAlign w:val="center"/>
          </w:tcPr>
          <w:p w14:paraId="0BC4590E">
            <w:pPr>
              <w:pStyle w:val="27"/>
              <w:keepNext w:val="0"/>
              <w:adjustRightInd/>
              <w:spacing w:before="0" w:after="0" w:line="360" w:lineRule="auto"/>
              <w:textAlignment w:val="auto"/>
              <w:rPr>
                <w:rFonts w:ascii="宋体" w:hAnsi="宋体" w:cs="宋体"/>
                <w:snapToGrid/>
                <w:spacing w:val="0"/>
                <w:kern w:val="2"/>
                <w:sz w:val="21"/>
                <w:szCs w:val="21"/>
              </w:rPr>
            </w:pPr>
          </w:p>
        </w:tc>
        <w:tc>
          <w:tcPr>
            <w:tcW w:w="1022" w:type="dxa"/>
            <w:vAlign w:val="center"/>
          </w:tcPr>
          <w:p w14:paraId="38DC5D37">
            <w:pPr>
              <w:spacing w:line="360" w:lineRule="auto"/>
              <w:jc w:val="center"/>
              <w:rPr>
                <w:rFonts w:ascii="宋体" w:hAnsi="宋体" w:cs="宋体"/>
                <w:szCs w:val="21"/>
              </w:rPr>
            </w:pPr>
          </w:p>
        </w:tc>
        <w:tc>
          <w:tcPr>
            <w:tcW w:w="873" w:type="dxa"/>
            <w:vAlign w:val="center"/>
          </w:tcPr>
          <w:p w14:paraId="1BF1CE1D">
            <w:pPr>
              <w:spacing w:line="360" w:lineRule="auto"/>
              <w:ind w:firstLine="12"/>
              <w:jc w:val="center"/>
              <w:rPr>
                <w:rFonts w:ascii="宋体" w:hAnsi="宋体" w:cs="宋体"/>
                <w:szCs w:val="21"/>
              </w:rPr>
            </w:pPr>
          </w:p>
        </w:tc>
        <w:tc>
          <w:tcPr>
            <w:tcW w:w="1126" w:type="dxa"/>
            <w:vAlign w:val="center"/>
          </w:tcPr>
          <w:p w14:paraId="13C7C959">
            <w:pPr>
              <w:spacing w:line="360" w:lineRule="auto"/>
              <w:ind w:firstLine="12"/>
              <w:jc w:val="center"/>
              <w:rPr>
                <w:rFonts w:ascii="宋体" w:hAnsi="宋体" w:cs="宋体"/>
                <w:szCs w:val="21"/>
              </w:rPr>
            </w:pPr>
          </w:p>
        </w:tc>
        <w:tc>
          <w:tcPr>
            <w:tcW w:w="1783" w:type="dxa"/>
            <w:vAlign w:val="center"/>
          </w:tcPr>
          <w:p w14:paraId="0BE96B02">
            <w:pPr>
              <w:spacing w:line="360" w:lineRule="auto"/>
              <w:ind w:firstLine="12"/>
              <w:jc w:val="center"/>
              <w:rPr>
                <w:rFonts w:ascii="宋体" w:hAnsi="宋体" w:cs="宋体"/>
                <w:szCs w:val="21"/>
              </w:rPr>
            </w:pPr>
          </w:p>
        </w:tc>
      </w:tr>
      <w:tr w14:paraId="0C26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vMerge w:val="continue"/>
            <w:vAlign w:val="center"/>
          </w:tcPr>
          <w:p w14:paraId="54D6A252">
            <w:pPr>
              <w:spacing w:line="360" w:lineRule="auto"/>
              <w:jc w:val="center"/>
              <w:rPr>
                <w:rFonts w:ascii="宋体" w:hAnsi="宋体" w:cs="宋体"/>
                <w:szCs w:val="21"/>
              </w:rPr>
            </w:pPr>
          </w:p>
        </w:tc>
        <w:tc>
          <w:tcPr>
            <w:tcW w:w="1270" w:type="dxa"/>
            <w:vAlign w:val="center"/>
          </w:tcPr>
          <w:p w14:paraId="439D6AC5">
            <w:pPr>
              <w:spacing w:line="360" w:lineRule="auto"/>
              <w:jc w:val="center"/>
              <w:rPr>
                <w:rFonts w:ascii="宋体" w:hAnsi="宋体" w:cs="宋体"/>
                <w:szCs w:val="21"/>
              </w:rPr>
            </w:pPr>
          </w:p>
        </w:tc>
        <w:tc>
          <w:tcPr>
            <w:tcW w:w="1092" w:type="dxa"/>
            <w:vAlign w:val="center"/>
          </w:tcPr>
          <w:p w14:paraId="765E4273">
            <w:pPr>
              <w:spacing w:line="360" w:lineRule="auto"/>
              <w:jc w:val="center"/>
              <w:rPr>
                <w:rFonts w:ascii="宋体" w:hAnsi="宋体" w:cs="宋体"/>
                <w:szCs w:val="21"/>
              </w:rPr>
            </w:pPr>
          </w:p>
        </w:tc>
        <w:tc>
          <w:tcPr>
            <w:tcW w:w="1085" w:type="dxa"/>
            <w:vAlign w:val="center"/>
          </w:tcPr>
          <w:p w14:paraId="26E92E5D">
            <w:pPr>
              <w:pStyle w:val="27"/>
              <w:keepNext w:val="0"/>
              <w:adjustRightInd/>
              <w:spacing w:before="0" w:after="0" w:line="360" w:lineRule="auto"/>
              <w:textAlignment w:val="auto"/>
              <w:rPr>
                <w:rFonts w:ascii="宋体" w:hAnsi="宋体" w:cs="宋体"/>
                <w:snapToGrid/>
                <w:spacing w:val="0"/>
                <w:kern w:val="2"/>
                <w:sz w:val="21"/>
                <w:szCs w:val="21"/>
              </w:rPr>
            </w:pPr>
          </w:p>
        </w:tc>
        <w:tc>
          <w:tcPr>
            <w:tcW w:w="1022" w:type="dxa"/>
            <w:vAlign w:val="center"/>
          </w:tcPr>
          <w:p w14:paraId="3901FC76">
            <w:pPr>
              <w:spacing w:line="360" w:lineRule="auto"/>
              <w:jc w:val="center"/>
              <w:rPr>
                <w:rFonts w:ascii="宋体" w:hAnsi="宋体" w:cs="宋体"/>
                <w:szCs w:val="21"/>
              </w:rPr>
            </w:pPr>
          </w:p>
        </w:tc>
        <w:tc>
          <w:tcPr>
            <w:tcW w:w="873" w:type="dxa"/>
            <w:vAlign w:val="center"/>
          </w:tcPr>
          <w:p w14:paraId="7283BBD1">
            <w:pPr>
              <w:spacing w:line="360" w:lineRule="auto"/>
              <w:ind w:firstLine="12"/>
              <w:jc w:val="center"/>
              <w:rPr>
                <w:rFonts w:ascii="宋体" w:hAnsi="宋体" w:cs="宋体"/>
                <w:szCs w:val="21"/>
              </w:rPr>
            </w:pPr>
          </w:p>
        </w:tc>
        <w:tc>
          <w:tcPr>
            <w:tcW w:w="1126" w:type="dxa"/>
            <w:vAlign w:val="center"/>
          </w:tcPr>
          <w:p w14:paraId="645B4D53">
            <w:pPr>
              <w:spacing w:line="360" w:lineRule="auto"/>
              <w:ind w:firstLine="12"/>
              <w:jc w:val="center"/>
              <w:rPr>
                <w:rFonts w:ascii="宋体" w:hAnsi="宋体" w:cs="宋体"/>
                <w:szCs w:val="21"/>
              </w:rPr>
            </w:pPr>
          </w:p>
        </w:tc>
        <w:tc>
          <w:tcPr>
            <w:tcW w:w="1783" w:type="dxa"/>
            <w:vAlign w:val="center"/>
          </w:tcPr>
          <w:p w14:paraId="6E5927EA">
            <w:pPr>
              <w:spacing w:line="360" w:lineRule="auto"/>
              <w:ind w:firstLine="12"/>
              <w:jc w:val="center"/>
              <w:rPr>
                <w:rFonts w:ascii="宋体" w:hAnsi="宋体" w:cs="宋体"/>
                <w:szCs w:val="21"/>
              </w:rPr>
            </w:pPr>
          </w:p>
        </w:tc>
      </w:tr>
      <w:tr w14:paraId="0CBB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vMerge w:val="continue"/>
            <w:vAlign w:val="center"/>
          </w:tcPr>
          <w:p w14:paraId="2CFAE84F">
            <w:pPr>
              <w:spacing w:line="360" w:lineRule="auto"/>
              <w:jc w:val="center"/>
              <w:rPr>
                <w:rFonts w:ascii="宋体" w:hAnsi="宋体" w:cs="宋体"/>
                <w:szCs w:val="21"/>
              </w:rPr>
            </w:pPr>
          </w:p>
        </w:tc>
        <w:tc>
          <w:tcPr>
            <w:tcW w:w="1270" w:type="dxa"/>
            <w:vAlign w:val="center"/>
          </w:tcPr>
          <w:p w14:paraId="69664A63">
            <w:pPr>
              <w:spacing w:line="360" w:lineRule="auto"/>
              <w:jc w:val="center"/>
              <w:rPr>
                <w:rFonts w:ascii="宋体" w:hAnsi="宋体" w:cs="宋体"/>
                <w:szCs w:val="21"/>
              </w:rPr>
            </w:pPr>
          </w:p>
        </w:tc>
        <w:tc>
          <w:tcPr>
            <w:tcW w:w="1092" w:type="dxa"/>
            <w:vAlign w:val="center"/>
          </w:tcPr>
          <w:p w14:paraId="386031B0">
            <w:pPr>
              <w:spacing w:line="360" w:lineRule="auto"/>
              <w:jc w:val="center"/>
              <w:rPr>
                <w:rFonts w:ascii="宋体" w:hAnsi="宋体" w:cs="宋体"/>
                <w:szCs w:val="21"/>
              </w:rPr>
            </w:pPr>
          </w:p>
        </w:tc>
        <w:tc>
          <w:tcPr>
            <w:tcW w:w="1085" w:type="dxa"/>
            <w:vAlign w:val="center"/>
          </w:tcPr>
          <w:p w14:paraId="0D1E1ECD">
            <w:pPr>
              <w:pStyle w:val="27"/>
              <w:keepNext w:val="0"/>
              <w:adjustRightInd/>
              <w:spacing w:before="0" w:after="0" w:line="360" w:lineRule="auto"/>
              <w:textAlignment w:val="auto"/>
              <w:rPr>
                <w:rFonts w:ascii="宋体" w:hAnsi="宋体" w:cs="宋体"/>
                <w:snapToGrid/>
                <w:spacing w:val="0"/>
                <w:kern w:val="2"/>
                <w:sz w:val="21"/>
                <w:szCs w:val="21"/>
              </w:rPr>
            </w:pPr>
          </w:p>
        </w:tc>
        <w:tc>
          <w:tcPr>
            <w:tcW w:w="1022" w:type="dxa"/>
            <w:vAlign w:val="center"/>
          </w:tcPr>
          <w:p w14:paraId="204519FC">
            <w:pPr>
              <w:spacing w:line="360" w:lineRule="auto"/>
              <w:jc w:val="center"/>
              <w:rPr>
                <w:rFonts w:ascii="宋体" w:hAnsi="宋体" w:cs="宋体"/>
                <w:szCs w:val="21"/>
              </w:rPr>
            </w:pPr>
          </w:p>
        </w:tc>
        <w:tc>
          <w:tcPr>
            <w:tcW w:w="873" w:type="dxa"/>
            <w:vAlign w:val="center"/>
          </w:tcPr>
          <w:p w14:paraId="12130FF3">
            <w:pPr>
              <w:spacing w:line="360" w:lineRule="auto"/>
              <w:ind w:firstLine="12"/>
              <w:jc w:val="center"/>
              <w:rPr>
                <w:rFonts w:ascii="宋体" w:hAnsi="宋体" w:cs="宋体"/>
                <w:szCs w:val="21"/>
              </w:rPr>
            </w:pPr>
          </w:p>
        </w:tc>
        <w:tc>
          <w:tcPr>
            <w:tcW w:w="1126" w:type="dxa"/>
            <w:vAlign w:val="center"/>
          </w:tcPr>
          <w:p w14:paraId="12433658">
            <w:pPr>
              <w:spacing w:line="360" w:lineRule="auto"/>
              <w:ind w:firstLine="12"/>
              <w:jc w:val="center"/>
              <w:rPr>
                <w:rFonts w:ascii="宋体" w:hAnsi="宋体" w:cs="宋体"/>
                <w:szCs w:val="21"/>
              </w:rPr>
            </w:pPr>
          </w:p>
        </w:tc>
        <w:tc>
          <w:tcPr>
            <w:tcW w:w="1783" w:type="dxa"/>
            <w:vAlign w:val="center"/>
          </w:tcPr>
          <w:p w14:paraId="41079D10">
            <w:pPr>
              <w:spacing w:line="360" w:lineRule="auto"/>
              <w:ind w:firstLine="12"/>
              <w:jc w:val="center"/>
              <w:rPr>
                <w:rFonts w:ascii="宋体" w:hAnsi="宋体" w:cs="宋体"/>
                <w:szCs w:val="21"/>
              </w:rPr>
            </w:pPr>
          </w:p>
        </w:tc>
      </w:tr>
      <w:tr w14:paraId="1870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vMerge w:val="continue"/>
            <w:vAlign w:val="center"/>
          </w:tcPr>
          <w:p w14:paraId="0B10E4D4">
            <w:pPr>
              <w:spacing w:line="360" w:lineRule="auto"/>
              <w:jc w:val="center"/>
              <w:rPr>
                <w:rFonts w:ascii="宋体" w:hAnsi="宋体" w:cs="宋体"/>
                <w:szCs w:val="21"/>
              </w:rPr>
            </w:pPr>
          </w:p>
        </w:tc>
        <w:tc>
          <w:tcPr>
            <w:tcW w:w="1270" w:type="dxa"/>
            <w:vAlign w:val="center"/>
          </w:tcPr>
          <w:p w14:paraId="63626DC2">
            <w:pPr>
              <w:spacing w:line="360" w:lineRule="auto"/>
              <w:jc w:val="center"/>
              <w:rPr>
                <w:rFonts w:ascii="宋体" w:hAnsi="宋体" w:cs="宋体"/>
                <w:szCs w:val="21"/>
              </w:rPr>
            </w:pPr>
          </w:p>
        </w:tc>
        <w:tc>
          <w:tcPr>
            <w:tcW w:w="1092" w:type="dxa"/>
            <w:vAlign w:val="center"/>
          </w:tcPr>
          <w:p w14:paraId="35764120">
            <w:pPr>
              <w:spacing w:line="360" w:lineRule="auto"/>
              <w:jc w:val="center"/>
              <w:rPr>
                <w:rFonts w:ascii="宋体" w:hAnsi="宋体" w:cs="宋体"/>
                <w:szCs w:val="21"/>
              </w:rPr>
            </w:pPr>
          </w:p>
        </w:tc>
        <w:tc>
          <w:tcPr>
            <w:tcW w:w="1085" w:type="dxa"/>
            <w:vAlign w:val="center"/>
          </w:tcPr>
          <w:p w14:paraId="26E36CBD">
            <w:pPr>
              <w:pStyle w:val="27"/>
              <w:keepNext w:val="0"/>
              <w:adjustRightInd/>
              <w:spacing w:before="0" w:after="0" w:line="360" w:lineRule="auto"/>
              <w:textAlignment w:val="auto"/>
              <w:rPr>
                <w:rFonts w:ascii="宋体" w:hAnsi="宋体" w:cs="宋体"/>
                <w:snapToGrid/>
                <w:spacing w:val="0"/>
                <w:kern w:val="2"/>
                <w:sz w:val="21"/>
                <w:szCs w:val="21"/>
              </w:rPr>
            </w:pPr>
          </w:p>
        </w:tc>
        <w:tc>
          <w:tcPr>
            <w:tcW w:w="1022" w:type="dxa"/>
            <w:vAlign w:val="center"/>
          </w:tcPr>
          <w:p w14:paraId="3ED4CD12">
            <w:pPr>
              <w:spacing w:line="360" w:lineRule="auto"/>
              <w:jc w:val="center"/>
              <w:rPr>
                <w:rFonts w:ascii="宋体" w:hAnsi="宋体" w:cs="宋体"/>
                <w:szCs w:val="21"/>
              </w:rPr>
            </w:pPr>
          </w:p>
        </w:tc>
        <w:tc>
          <w:tcPr>
            <w:tcW w:w="873" w:type="dxa"/>
            <w:vAlign w:val="center"/>
          </w:tcPr>
          <w:p w14:paraId="0953F99E">
            <w:pPr>
              <w:spacing w:line="360" w:lineRule="auto"/>
              <w:ind w:firstLine="12"/>
              <w:jc w:val="center"/>
              <w:rPr>
                <w:rFonts w:ascii="宋体" w:hAnsi="宋体" w:cs="宋体"/>
                <w:szCs w:val="21"/>
              </w:rPr>
            </w:pPr>
          </w:p>
        </w:tc>
        <w:tc>
          <w:tcPr>
            <w:tcW w:w="1126" w:type="dxa"/>
            <w:vAlign w:val="center"/>
          </w:tcPr>
          <w:p w14:paraId="52091624">
            <w:pPr>
              <w:spacing w:line="360" w:lineRule="auto"/>
              <w:ind w:firstLine="12"/>
              <w:jc w:val="center"/>
              <w:rPr>
                <w:rFonts w:ascii="宋体" w:hAnsi="宋体" w:cs="宋体"/>
                <w:szCs w:val="21"/>
              </w:rPr>
            </w:pPr>
          </w:p>
        </w:tc>
        <w:tc>
          <w:tcPr>
            <w:tcW w:w="1783" w:type="dxa"/>
            <w:vAlign w:val="center"/>
          </w:tcPr>
          <w:p w14:paraId="3E71E834">
            <w:pPr>
              <w:spacing w:line="360" w:lineRule="auto"/>
              <w:ind w:firstLine="12"/>
              <w:jc w:val="center"/>
              <w:rPr>
                <w:rFonts w:ascii="宋体" w:hAnsi="宋体" w:cs="宋体"/>
                <w:szCs w:val="21"/>
              </w:rPr>
            </w:pPr>
          </w:p>
        </w:tc>
      </w:tr>
      <w:tr w14:paraId="2BFB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vMerge w:val="continue"/>
            <w:vAlign w:val="center"/>
          </w:tcPr>
          <w:p w14:paraId="7C3233E7">
            <w:pPr>
              <w:spacing w:line="360" w:lineRule="auto"/>
              <w:jc w:val="center"/>
              <w:rPr>
                <w:rFonts w:ascii="宋体" w:hAnsi="宋体" w:cs="宋体"/>
                <w:szCs w:val="21"/>
              </w:rPr>
            </w:pPr>
          </w:p>
        </w:tc>
        <w:tc>
          <w:tcPr>
            <w:tcW w:w="1270" w:type="dxa"/>
            <w:vAlign w:val="center"/>
          </w:tcPr>
          <w:p w14:paraId="27E13976">
            <w:pPr>
              <w:spacing w:line="360" w:lineRule="auto"/>
              <w:jc w:val="center"/>
              <w:rPr>
                <w:rFonts w:ascii="宋体" w:hAnsi="宋体" w:cs="宋体"/>
                <w:szCs w:val="21"/>
              </w:rPr>
            </w:pPr>
          </w:p>
        </w:tc>
        <w:tc>
          <w:tcPr>
            <w:tcW w:w="1092" w:type="dxa"/>
            <w:vAlign w:val="center"/>
          </w:tcPr>
          <w:p w14:paraId="5A760D7D">
            <w:pPr>
              <w:spacing w:line="360" w:lineRule="auto"/>
              <w:jc w:val="center"/>
              <w:rPr>
                <w:rFonts w:ascii="宋体" w:hAnsi="宋体" w:cs="宋体"/>
                <w:szCs w:val="21"/>
              </w:rPr>
            </w:pPr>
          </w:p>
        </w:tc>
        <w:tc>
          <w:tcPr>
            <w:tcW w:w="1085" w:type="dxa"/>
            <w:vAlign w:val="center"/>
          </w:tcPr>
          <w:p w14:paraId="07287EEA">
            <w:pPr>
              <w:pStyle w:val="27"/>
              <w:keepNext w:val="0"/>
              <w:adjustRightInd/>
              <w:spacing w:before="0" w:after="0" w:line="360" w:lineRule="auto"/>
              <w:textAlignment w:val="auto"/>
              <w:rPr>
                <w:rFonts w:ascii="宋体" w:hAnsi="宋体" w:cs="宋体"/>
                <w:snapToGrid/>
                <w:spacing w:val="0"/>
                <w:kern w:val="2"/>
                <w:sz w:val="21"/>
                <w:szCs w:val="21"/>
              </w:rPr>
            </w:pPr>
          </w:p>
        </w:tc>
        <w:tc>
          <w:tcPr>
            <w:tcW w:w="1022" w:type="dxa"/>
            <w:vAlign w:val="center"/>
          </w:tcPr>
          <w:p w14:paraId="5F18EB57">
            <w:pPr>
              <w:spacing w:line="360" w:lineRule="auto"/>
              <w:jc w:val="center"/>
              <w:rPr>
                <w:rFonts w:ascii="宋体" w:hAnsi="宋体" w:cs="宋体"/>
                <w:szCs w:val="21"/>
              </w:rPr>
            </w:pPr>
          </w:p>
        </w:tc>
        <w:tc>
          <w:tcPr>
            <w:tcW w:w="873" w:type="dxa"/>
            <w:vAlign w:val="center"/>
          </w:tcPr>
          <w:p w14:paraId="1ED914D0">
            <w:pPr>
              <w:spacing w:line="360" w:lineRule="auto"/>
              <w:ind w:firstLine="12"/>
              <w:jc w:val="center"/>
              <w:rPr>
                <w:rFonts w:ascii="宋体" w:hAnsi="宋体" w:cs="宋体"/>
                <w:szCs w:val="21"/>
              </w:rPr>
            </w:pPr>
          </w:p>
        </w:tc>
        <w:tc>
          <w:tcPr>
            <w:tcW w:w="1126" w:type="dxa"/>
            <w:vAlign w:val="center"/>
          </w:tcPr>
          <w:p w14:paraId="53A0E62A">
            <w:pPr>
              <w:spacing w:line="360" w:lineRule="auto"/>
              <w:ind w:firstLine="12"/>
              <w:jc w:val="center"/>
              <w:rPr>
                <w:rFonts w:ascii="宋体" w:hAnsi="宋体" w:cs="宋体"/>
                <w:szCs w:val="21"/>
              </w:rPr>
            </w:pPr>
          </w:p>
        </w:tc>
        <w:tc>
          <w:tcPr>
            <w:tcW w:w="1783" w:type="dxa"/>
            <w:vAlign w:val="center"/>
          </w:tcPr>
          <w:p w14:paraId="2D9C8CA0">
            <w:pPr>
              <w:spacing w:line="360" w:lineRule="auto"/>
              <w:ind w:firstLine="12"/>
              <w:jc w:val="center"/>
              <w:rPr>
                <w:rFonts w:ascii="宋体" w:hAnsi="宋体" w:cs="宋体"/>
                <w:szCs w:val="21"/>
              </w:rPr>
            </w:pPr>
          </w:p>
        </w:tc>
      </w:tr>
      <w:tr w14:paraId="0FDA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88" w:type="dxa"/>
            <w:vMerge w:val="continue"/>
            <w:vAlign w:val="center"/>
          </w:tcPr>
          <w:p w14:paraId="51C13652">
            <w:pPr>
              <w:spacing w:line="360" w:lineRule="auto"/>
              <w:jc w:val="center"/>
              <w:rPr>
                <w:rFonts w:ascii="宋体" w:hAnsi="宋体" w:cs="宋体"/>
                <w:szCs w:val="21"/>
              </w:rPr>
            </w:pPr>
          </w:p>
        </w:tc>
        <w:tc>
          <w:tcPr>
            <w:tcW w:w="1270" w:type="dxa"/>
            <w:vAlign w:val="center"/>
          </w:tcPr>
          <w:p w14:paraId="7BC5CAE2">
            <w:pPr>
              <w:spacing w:line="360" w:lineRule="auto"/>
              <w:jc w:val="center"/>
              <w:rPr>
                <w:rFonts w:ascii="宋体" w:hAnsi="宋体" w:cs="宋体"/>
                <w:szCs w:val="21"/>
              </w:rPr>
            </w:pPr>
          </w:p>
        </w:tc>
        <w:tc>
          <w:tcPr>
            <w:tcW w:w="1092" w:type="dxa"/>
            <w:vAlign w:val="center"/>
          </w:tcPr>
          <w:p w14:paraId="07C949A9">
            <w:pPr>
              <w:spacing w:line="360" w:lineRule="auto"/>
              <w:jc w:val="center"/>
              <w:rPr>
                <w:rFonts w:ascii="宋体" w:hAnsi="宋体" w:cs="宋体"/>
                <w:szCs w:val="21"/>
              </w:rPr>
            </w:pPr>
          </w:p>
        </w:tc>
        <w:tc>
          <w:tcPr>
            <w:tcW w:w="1085" w:type="dxa"/>
            <w:vAlign w:val="center"/>
          </w:tcPr>
          <w:p w14:paraId="1298FE67">
            <w:pPr>
              <w:pStyle w:val="27"/>
              <w:keepNext w:val="0"/>
              <w:adjustRightInd/>
              <w:spacing w:before="0" w:after="0" w:line="360" w:lineRule="auto"/>
              <w:textAlignment w:val="auto"/>
              <w:rPr>
                <w:rFonts w:ascii="宋体" w:hAnsi="宋体" w:cs="宋体"/>
                <w:snapToGrid/>
                <w:spacing w:val="0"/>
                <w:kern w:val="2"/>
                <w:sz w:val="21"/>
                <w:szCs w:val="21"/>
              </w:rPr>
            </w:pPr>
          </w:p>
        </w:tc>
        <w:tc>
          <w:tcPr>
            <w:tcW w:w="1022" w:type="dxa"/>
            <w:vAlign w:val="center"/>
          </w:tcPr>
          <w:p w14:paraId="38A7C3F5">
            <w:pPr>
              <w:spacing w:line="360" w:lineRule="auto"/>
              <w:jc w:val="center"/>
              <w:rPr>
                <w:rFonts w:ascii="宋体" w:hAnsi="宋体" w:cs="宋体"/>
                <w:szCs w:val="21"/>
              </w:rPr>
            </w:pPr>
          </w:p>
        </w:tc>
        <w:tc>
          <w:tcPr>
            <w:tcW w:w="873" w:type="dxa"/>
            <w:vAlign w:val="center"/>
          </w:tcPr>
          <w:p w14:paraId="155DB6C9">
            <w:pPr>
              <w:spacing w:line="360" w:lineRule="auto"/>
              <w:ind w:firstLine="12"/>
              <w:jc w:val="center"/>
              <w:rPr>
                <w:rFonts w:ascii="宋体" w:hAnsi="宋体" w:cs="宋体"/>
                <w:szCs w:val="21"/>
              </w:rPr>
            </w:pPr>
          </w:p>
        </w:tc>
        <w:tc>
          <w:tcPr>
            <w:tcW w:w="1126" w:type="dxa"/>
            <w:vAlign w:val="center"/>
          </w:tcPr>
          <w:p w14:paraId="7F44EA85">
            <w:pPr>
              <w:spacing w:line="360" w:lineRule="auto"/>
              <w:ind w:firstLine="12"/>
              <w:jc w:val="center"/>
              <w:rPr>
                <w:rFonts w:ascii="宋体" w:hAnsi="宋体" w:cs="宋体"/>
                <w:szCs w:val="21"/>
              </w:rPr>
            </w:pPr>
          </w:p>
        </w:tc>
        <w:tc>
          <w:tcPr>
            <w:tcW w:w="1783" w:type="dxa"/>
            <w:vAlign w:val="center"/>
          </w:tcPr>
          <w:p w14:paraId="10BF7A2C">
            <w:pPr>
              <w:spacing w:line="360" w:lineRule="auto"/>
              <w:ind w:firstLine="12"/>
              <w:jc w:val="center"/>
              <w:rPr>
                <w:rFonts w:ascii="宋体" w:hAnsi="宋体" w:cs="宋体"/>
                <w:szCs w:val="21"/>
              </w:rPr>
            </w:pPr>
          </w:p>
        </w:tc>
      </w:tr>
    </w:tbl>
    <w:p w14:paraId="7B4926FE">
      <w:pPr>
        <w:spacing w:line="360" w:lineRule="auto"/>
        <w:rPr>
          <w:rFonts w:ascii="宋体" w:hAnsi="宋体" w:cs="宋体"/>
          <w:szCs w:val="21"/>
          <w:lang w:val="en-GB"/>
        </w:rPr>
      </w:pPr>
    </w:p>
    <w:p w14:paraId="59B35097">
      <w:pPr>
        <w:spacing w:line="360" w:lineRule="auto"/>
        <w:rPr>
          <w:rFonts w:ascii="宋体" w:hAnsi="宋体" w:cs="宋体"/>
          <w:szCs w:val="21"/>
          <w:lang w:val="en-GB"/>
        </w:rPr>
      </w:pPr>
    </w:p>
    <w:p w14:paraId="70D851B2">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投标人法定代表人（或投标人授权代表）签字或盖章：</w:t>
      </w:r>
      <w:r>
        <w:rPr>
          <w:rFonts w:hint="eastAsia" w:ascii="宋体" w:hAnsi="宋体" w:cs="宋体"/>
          <w:szCs w:val="21"/>
          <w:u w:val="single"/>
        </w:rPr>
        <w:t xml:space="preserve">               </w:t>
      </w:r>
    </w:p>
    <w:p w14:paraId="57A8995E">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投标人名称（盖章）：</w:t>
      </w:r>
      <w:r>
        <w:rPr>
          <w:rFonts w:hint="eastAsia" w:ascii="宋体" w:hAnsi="宋体" w:cs="宋体"/>
          <w:szCs w:val="21"/>
          <w:u w:val="single"/>
        </w:rPr>
        <w:t xml:space="preserve">                      </w:t>
      </w:r>
    </w:p>
    <w:p w14:paraId="10917137">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B6B1676">
      <w:pPr>
        <w:pStyle w:val="28"/>
        <w:spacing w:line="360" w:lineRule="auto"/>
        <w:ind w:firstLine="0" w:firstLineChars="0"/>
        <w:rPr>
          <w:rFonts w:ascii="宋体" w:hAnsi="宋体" w:cs="宋体"/>
          <w:szCs w:val="21"/>
        </w:rPr>
      </w:pPr>
    </w:p>
    <w:p w14:paraId="6D066ED0">
      <w:pPr>
        <w:spacing w:line="360" w:lineRule="auto"/>
        <w:rPr>
          <w:rFonts w:ascii="宋体" w:hAnsi="宋体" w:cs="宋体"/>
          <w:szCs w:val="21"/>
          <w:lang w:val="en-GB"/>
        </w:rPr>
      </w:pPr>
    </w:p>
    <w:p w14:paraId="72DB2441">
      <w:pPr>
        <w:pageBreakBefore/>
        <w:spacing w:line="360" w:lineRule="auto"/>
        <w:ind w:firstLine="422" w:firstLineChars="200"/>
        <w:jc w:val="center"/>
        <w:outlineLvl w:val="1"/>
        <w:rPr>
          <w:rFonts w:ascii="宋体" w:hAnsi="宋体" w:cs="宋体"/>
          <w:kern w:val="0"/>
          <w:szCs w:val="21"/>
        </w:rPr>
      </w:pPr>
      <w:r>
        <w:rPr>
          <w:rFonts w:hint="eastAsia" w:ascii="宋体" w:hAnsi="宋体" w:cs="宋体"/>
          <w:b/>
          <w:szCs w:val="21"/>
        </w:rPr>
        <w:t>四、用户需求响应</w:t>
      </w:r>
    </w:p>
    <w:p w14:paraId="079B44DC">
      <w:pPr>
        <w:spacing w:line="360" w:lineRule="auto"/>
        <w:jc w:val="center"/>
        <w:rPr>
          <w:rFonts w:ascii="宋体" w:hAnsi="宋体" w:cs="宋体"/>
          <w:szCs w:val="21"/>
        </w:rPr>
      </w:pPr>
      <w:r>
        <w:rPr>
          <w:rFonts w:hint="eastAsia" w:ascii="宋体" w:hAnsi="宋体" w:cs="宋体"/>
          <w:b/>
          <w:szCs w:val="21"/>
        </w:rPr>
        <w:t>《技术和商务要求响应表》</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6"/>
        <w:gridCol w:w="1224"/>
        <w:gridCol w:w="1728"/>
        <w:gridCol w:w="1587"/>
        <w:gridCol w:w="1115"/>
        <w:gridCol w:w="1116"/>
        <w:gridCol w:w="1116"/>
      </w:tblGrid>
      <w:tr w14:paraId="02FFB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1" w:hRule="atLeast"/>
          <w:jc w:val="center"/>
        </w:trPr>
        <w:tc>
          <w:tcPr>
            <w:tcW w:w="551" w:type="dxa"/>
          </w:tcPr>
          <w:p w14:paraId="74235E98">
            <w:pPr>
              <w:spacing w:line="360" w:lineRule="auto"/>
              <w:rPr>
                <w:rFonts w:ascii="宋体" w:hAnsi="宋体" w:cs="宋体"/>
                <w:szCs w:val="21"/>
              </w:rPr>
            </w:pPr>
            <w:r>
              <w:rPr>
                <w:rFonts w:hint="eastAsia" w:ascii="宋体" w:hAnsi="宋体" w:cs="宋体"/>
                <w:szCs w:val="21"/>
              </w:rPr>
              <w:t>序号</w:t>
            </w:r>
          </w:p>
        </w:tc>
        <w:tc>
          <w:tcPr>
            <w:tcW w:w="1233" w:type="dxa"/>
          </w:tcPr>
          <w:p w14:paraId="5AD2C04B">
            <w:pPr>
              <w:spacing w:line="360" w:lineRule="auto"/>
              <w:rPr>
                <w:rFonts w:ascii="宋体" w:hAnsi="宋体" w:cs="宋体"/>
                <w:szCs w:val="21"/>
              </w:rPr>
            </w:pPr>
            <w:r>
              <w:rPr>
                <w:rFonts w:hint="eastAsia" w:ascii="宋体" w:hAnsi="宋体" w:cs="宋体"/>
                <w:szCs w:val="21"/>
              </w:rPr>
              <w:t>参数性质</w:t>
            </w:r>
          </w:p>
        </w:tc>
        <w:tc>
          <w:tcPr>
            <w:tcW w:w="1742" w:type="dxa"/>
          </w:tcPr>
          <w:p w14:paraId="36ACBCFA">
            <w:pPr>
              <w:spacing w:line="360" w:lineRule="auto"/>
              <w:rPr>
                <w:rFonts w:ascii="宋体" w:hAnsi="宋体" w:cs="宋体"/>
                <w:szCs w:val="21"/>
              </w:rPr>
            </w:pPr>
            <w:r>
              <w:rPr>
                <w:rFonts w:hint="eastAsia" w:ascii="宋体" w:hAnsi="宋体" w:cs="宋体"/>
                <w:szCs w:val="21"/>
              </w:rPr>
              <w:t>采购文件规定的技术和商务要求</w:t>
            </w:r>
          </w:p>
        </w:tc>
        <w:tc>
          <w:tcPr>
            <w:tcW w:w="1600" w:type="dxa"/>
          </w:tcPr>
          <w:p w14:paraId="57CB59ED">
            <w:pPr>
              <w:spacing w:line="360" w:lineRule="auto"/>
              <w:rPr>
                <w:rFonts w:ascii="宋体" w:hAnsi="宋体" w:cs="宋体"/>
                <w:szCs w:val="21"/>
              </w:rPr>
            </w:pPr>
            <w:r>
              <w:rPr>
                <w:rFonts w:hint="eastAsia" w:ascii="宋体" w:hAnsi="宋体" w:cs="宋体"/>
                <w:szCs w:val="21"/>
              </w:rPr>
              <w:t>投标文件响应的具体内容</w:t>
            </w:r>
          </w:p>
        </w:tc>
        <w:tc>
          <w:tcPr>
            <w:tcW w:w="1123" w:type="dxa"/>
          </w:tcPr>
          <w:p w14:paraId="72908C0A">
            <w:pPr>
              <w:spacing w:line="360" w:lineRule="auto"/>
              <w:rPr>
                <w:rFonts w:ascii="宋体" w:hAnsi="宋体" w:cs="宋体"/>
                <w:szCs w:val="21"/>
              </w:rPr>
            </w:pPr>
            <w:r>
              <w:rPr>
                <w:rFonts w:hint="eastAsia" w:ascii="宋体" w:hAnsi="宋体" w:cs="宋体"/>
                <w:szCs w:val="21"/>
              </w:rPr>
              <w:t>是否偏离</w:t>
            </w:r>
          </w:p>
        </w:tc>
        <w:tc>
          <w:tcPr>
            <w:tcW w:w="1123" w:type="dxa"/>
          </w:tcPr>
          <w:p w14:paraId="2AA9B421">
            <w:pPr>
              <w:spacing w:line="360" w:lineRule="auto"/>
              <w:rPr>
                <w:rFonts w:ascii="宋体" w:hAnsi="宋体" w:cs="宋体"/>
                <w:szCs w:val="21"/>
              </w:rPr>
            </w:pPr>
            <w:r>
              <w:rPr>
                <w:rFonts w:hint="eastAsia" w:ascii="宋体" w:hAnsi="宋体" w:cs="宋体"/>
                <w:szCs w:val="21"/>
              </w:rPr>
              <w:t>证明文件所在位置</w:t>
            </w:r>
          </w:p>
        </w:tc>
        <w:tc>
          <w:tcPr>
            <w:tcW w:w="1123" w:type="dxa"/>
          </w:tcPr>
          <w:p w14:paraId="0F097292">
            <w:pPr>
              <w:spacing w:line="360" w:lineRule="auto"/>
              <w:rPr>
                <w:rFonts w:ascii="宋体" w:hAnsi="宋体" w:cs="宋体"/>
                <w:szCs w:val="21"/>
              </w:rPr>
            </w:pPr>
            <w:r>
              <w:rPr>
                <w:rFonts w:hint="eastAsia" w:ascii="宋体" w:hAnsi="宋体" w:cs="宋体"/>
                <w:szCs w:val="21"/>
              </w:rPr>
              <w:t>备注</w:t>
            </w:r>
          </w:p>
        </w:tc>
      </w:tr>
      <w:tr w14:paraId="51546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jc w:val="center"/>
        </w:trPr>
        <w:tc>
          <w:tcPr>
            <w:tcW w:w="551" w:type="dxa"/>
          </w:tcPr>
          <w:p w14:paraId="3579119C">
            <w:pPr>
              <w:spacing w:line="360" w:lineRule="auto"/>
              <w:rPr>
                <w:rFonts w:ascii="宋体" w:hAnsi="宋体" w:cs="宋体"/>
                <w:szCs w:val="21"/>
              </w:rPr>
            </w:pPr>
            <w:r>
              <w:rPr>
                <w:rFonts w:hint="eastAsia" w:ascii="宋体" w:hAnsi="宋体" w:cs="宋体"/>
                <w:szCs w:val="21"/>
              </w:rPr>
              <w:t>1</w:t>
            </w:r>
          </w:p>
        </w:tc>
        <w:tc>
          <w:tcPr>
            <w:tcW w:w="1233" w:type="dxa"/>
          </w:tcPr>
          <w:p w14:paraId="723B7478">
            <w:pPr>
              <w:spacing w:line="360" w:lineRule="auto"/>
              <w:rPr>
                <w:rFonts w:ascii="宋体" w:hAnsi="宋体" w:cs="宋体"/>
                <w:szCs w:val="21"/>
              </w:rPr>
            </w:pPr>
          </w:p>
        </w:tc>
        <w:tc>
          <w:tcPr>
            <w:tcW w:w="1742" w:type="dxa"/>
          </w:tcPr>
          <w:p w14:paraId="108B27AE">
            <w:pPr>
              <w:spacing w:line="360" w:lineRule="auto"/>
              <w:rPr>
                <w:rFonts w:ascii="宋体" w:hAnsi="宋体" w:cs="宋体"/>
                <w:szCs w:val="21"/>
              </w:rPr>
            </w:pPr>
          </w:p>
        </w:tc>
        <w:tc>
          <w:tcPr>
            <w:tcW w:w="1600" w:type="dxa"/>
          </w:tcPr>
          <w:p w14:paraId="1082405D">
            <w:pPr>
              <w:spacing w:line="360" w:lineRule="auto"/>
              <w:rPr>
                <w:rFonts w:ascii="宋体" w:hAnsi="宋体" w:cs="宋体"/>
                <w:szCs w:val="21"/>
              </w:rPr>
            </w:pPr>
          </w:p>
        </w:tc>
        <w:tc>
          <w:tcPr>
            <w:tcW w:w="1123" w:type="dxa"/>
          </w:tcPr>
          <w:p w14:paraId="7989819D">
            <w:pPr>
              <w:spacing w:line="360" w:lineRule="auto"/>
              <w:rPr>
                <w:rFonts w:ascii="宋体" w:hAnsi="宋体" w:cs="宋体"/>
                <w:szCs w:val="21"/>
              </w:rPr>
            </w:pPr>
          </w:p>
        </w:tc>
        <w:tc>
          <w:tcPr>
            <w:tcW w:w="1123" w:type="dxa"/>
          </w:tcPr>
          <w:p w14:paraId="677B9434">
            <w:pPr>
              <w:spacing w:line="360" w:lineRule="auto"/>
              <w:rPr>
                <w:rFonts w:ascii="宋体" w:hAnsi="宋体" w:cs="宋体"/>
                <w:szCs w:val="21"/>
              </w:rPr>
            </w:pPr>
          </w:p>
        </w:tc>
        <w:tc>
          <w:tcPr>
            <w:tcW w:w="1123" w:type="dxa"/>
          </w:tcPr>
          <w:p w14:paraId="1EA03C6F">
            <w:pPr>
              <w:spacing w:line="360" w:lineRule="auto"/>
              <w:rPr>
                <w:rFonts w:ascii="宋体" w:hAnsi="宋体" w:cs="宋体"/>
                <w:szCs w:val="21"/>
              </w:rPr>
            </w:pPr>
          </w:p>
        </w:tc>
      </w:tr>
      <w:tr w14:paraId="4CAA7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jc w:val="center"/>
        </w:trPr>
        <w:tc>
          <w:tcPr>
            <w:tcW w:w="551" w:type="dxa"/>
          </w:tcPr>
          <w:p w14:paraId="04FDB98B">
            <w:pPr>
              <w:spacing w:line="360" w:lineRule="auto"/>
              <w:rPr>
                <w:rFonts w:ascii="宋体" w:hAnsi="宋体" w:cs="宋体"/>
                <w:szCs w:val="21"/>
              </w:rPr>
            </w:pPr>
            <w:r>
              <w:rPr>
                <w:rFonts w:hint="eastAsia" w:ascii="宋体" w:hAnsi="宋体" w:cs="宋体"/>
                <w:szCs w:val="21"/>
              </w:rPr>
              <w:t>2</w:t>
            </w:r>
          </w:p>
        </w:tc>
        <w:tc>
          <w:tcPr>
            <w:tcW w:w="1233" w:type="dxa"/>
          </w:tcPr>
          <w:p w14:paraId="6EC36113">
            <w:pPr>
              <w:spacing w:line="360" w:lineRule="auto"/>
              <w:rPr>
                <w:rFonts w:ascii="宋体" w:hAnsi="宋体" w:cs="宋体"/>
                <w:szCs w:val="21"/>
              </w:rPr>
            </w:pPr>
          </w:p>
        </w:tc>
        <w:tc>
          <w:tcPr>
            <w:tcW w:w="1742" w:type="dxa"/>
          </w:tcPr>
          <w:p w14:paraId="77E97A85">
            <w:pPr>
              <w:spacing w:line="360" w:lineRule="auto"/>
              <w:rPr>
                <w:rFonts w:ascii="宋体" w:hAnsi="宋体" w:cs="宋体"/>
                <w:szCs w:val="21"/>
              </w:rPr>
            </w:pPr>
          </w:p>
        </w:tc>
        <w:tc>
          <w:tcPr>
            <w:tcW w:w="1600" w:type="dxa"/>
          </w:tcPr>
          <w:p w14:paraId="4BAF0673">
            <w:pPr>
              <w:spacing w:line="360" w:lineRule="auto"/>
              <w:rPr>
                <w:rFonts w:ascii="宋体" w:hAnsi="宋体" w:cs="宋体"/>
                <w:szCs w:val="21"/>
              </w:rPr>
            </w:pPr>
          </w:p>
        </w:tc>
        <w:tc>
          <w:tcPr>
            <w:tcW w:w="1123" w:type="dxa"/>
          </w:tcPr>
          <w:p w14:paraId="234CAF5E">
            <w:pPr>
              <w:spacing w:line="360" w:lineRule="auto"/>
              <w:rPr>
                <w:rFonts w:ascii="宋体" w:hAnsi="宋体" w:cs="宋体"/>
                <w:szCs w:val="21"/>
              </w:rPr>
            </w:pPr>
          </w:p>
        </w:tc>
        <w:tc>
          <w:tcPr>
            <w:tcW w:w="1123" w:type="dxa"/>
          </w:tcPr>
          <w:p w14:paraId="1D760289">
            <w:pPr>
              <w:spacing w:line="360" w:lineRule="auto"/>
              <w:rPr>
                <w:rFonts w:ascii="宋体" w:hAnsi="宋体" w:cs="宋体"/>
                <w:szCs w:val="21"/>
              </w:rPr>
            </w:pPr>
          </w:p>
        </w:tc>
        <w:tc>
          <w:tcPr>
            <w:tcW w:w="1123" w:type="dxa"/>
          </w:tcPr>
          <w:p w14:paraId="171E04DE">
            <w:pPr>
              <w:spacing w:line="360" w:lineRule="auto"/>
              <w:rPr>
                <w:rFonts w:ascii="宋体" w:hAnsi="宋体" w:cs="宋体"/>
                <w:szCs w:val="21"/>
              </w:rPr>
            </w:pPr>
          </w:p>
        </w:tc>
      </w:tr>
      <w:tr w14:paraId="0C2A7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jc w:val="center"/>
        </w:trPr>
        <w:tc>
          <w:tcPr>
            <w:tcW w:w="551" w:type="dxa"/>
          </w:tcPr>
          <w:p w14:paraId="1636E986">
            <w:pPr>
              <w:spacing w:line="360" w:lineRule="auto"/>
              <w:rPr>
                <w:rFonts w:ascii="宋体" w:hAnsi="宋体" w:cs="宋体"/>
                <w:szCs w:val="21"/>
              </w:rPr>
            </w:pPr>
            <w:r>
              <w:rPr>
                <w:rFonts w:hint="eastAsia" w:ascii="宋体" w:hAnsi="宋体" w:cs="宋体"/>
                <w:szCs w:val="21"/>
              </w:rPr>
              <w:t>3</w:t>
            </w:r>
          </w:p>
        </w:tc>
        <w:tc>
          <w:tcPr>
            <w:tcW w:w="1233" w:type="dxa"/>
          </w:tcPr>
          <w:p w14:paraId="2941F049">
            <w:pPr>
              <w:spacing w:line="360" w:lineRule="auto"/>
              <w:rPr>
                <w:rFonts w:ascii="宋体" w:hAnsi="宋体" w:cs="宋体"/>
                <w:szCs w:val="21"/>
              </w:rPr>
            </w:pPr>
          </w:p>
        </w:tc>
        <w:tc>
          <w:tcPr>
            <w:tcW w:w="1742" w:type="dxa"/>
          </w:tcPr>
          <w:p w14:paraId="0A293F9E">
            <w:pPr>
              <w:spacing w:line="360" w:lineRule="auto"/>
              <w:rPr>
                <w:rFonts w:ascii="宋体" w:hAnsi="宋体" w:cs="宋体"/>
                <w:szCs w:val="21"/>
              </w:rPr>
            </w:pPr>
          </w:p>
        </w:tc>
        <w:tc>
          <w:tcPr>
            <w:tcW w:w="1600" w:type="dxa"/>
          </w:tcPr>
          <w:p w14:paraId="1D74840B">
            <w:pPr>
              <w:spacing w:line="360" w:lineRule="auto"/>
              <w:rPr>
                <w:rFonts w:ascii="宋体" w:hAnsi="宋体" w:cs="宋体"/>
                <w:szCs w:val="21"/>
              </w:rPr>
            </w:pPr>
          </w:p>
        </w:tc>
        <w:tc>
          <w:tcPr>
            <w:tcW w:w="1123" w:type="dxa"/>
          </w:tcPr>
          <w:p w14:paraId="0B1DB457">
            <w:pPr>
              <w:spacing w:line="360" w:lineRule="auto"/>
              <w:rPr>
                <w:rFonts w:ascii="宋体" w:hAnsi="宋体" w:cs="宋体"/>
                <w:szCs w:val="21"/>
              </w:rPr>
            </w:pPr>
          </w:p>
        </w:tc>
        <w:tc>
          <w:tcPr>
            <w:tcW w:w="1123" w:type="dxa"/>
          </w:tcPr>
          <w:p w14:paraId="0D1DE3BD">
            <w:pPr>
              <w:spacing w:line="360" w:lineRule="auto"/>
              <w:rPr>
                <w:rFonts w:ascii="宋体" w:hAnsi="宋体" w:cs="宋体"/>
                <w:szCs w:val="21"/>
              </w:rPr>
            </w:pPr>
          </w:p>
        </w:tc>
        <w:tc>
          <w:tcPr>
            <w:tcW w:w="1123" w:type="dxa"/>
          </w:tcPr>
          <w:p w14:paraId="5F67D3C6">
            <w:pPr>
              <w:spacing w:line="360" w:lineRule="auto"/>
              <w:rPr>
                <w:rFonts w:ascii="宋体" w:hAnsi="宋体" w:cs="宋体"/>
                <w:szCs w:val="21"/>
              </w:rPr>
            </w:pPr>
          </w:p>
        </w:tc>
      </w:tr>
      <w:tr w14:paraId="5B4E1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jc w:val="center"/>
        </w:trPr>
        <w:tc>
          <w:tcPr>
            <w:tcW w:w="551" w:type="dxa"/>
          </w:tcPr>
          <w:p w14:paraId="1C1C5C0A">
            <w:pPr>
              <w:spacing w:line="360" w:lineRule="auto"/>
              <w:rPr>
                <w:rFonts w:ascii="宋体" w:hAnsi="宋体" w:cs="宋体"/>
                <w:szCs w:val="21"/>
              </w:rPr>
            </w:pPr>
            <w:r>
              <w:rPr>
                <w:rFonts w:hint="eastAsia" w:ascii="宋体" w:hAnsi="宋体" w:cs="宋体"/>
                <w:szCs w:val="21"/>
              </w:rPr>
              <w:t>4</w:t>
            </w:r>
          </w:p>
        </w:tc>
        <w:tc>
          <w:tcPr>
            <w:tcW w:w="1233" w:type="dxa"/>
          </w:tcPr>
          <w:p w14:paraId="5D1771A2">
            <w:pPr>
              <w:spacing w:line="360" w:lineRule="auto"/>
              <w:rPr>
                <w:rFonts w:ascii="宋体" w:hAnsi="宋体" w:cs="宋体"/>
                <w:szCs w:val="21"/>
              </w:rPr>
            </w:pPr>
          </w:p>
        </w:tc>
        <w:tc>
          <w:tcPr>
            <w:tcW w:w="1742" w:type="dxa"/>
          </w:tcPr>
          <w:p w14:paraId="79615437">
            <w:pPr>
              <w:spacing w:line="360" w:lineRule="auto"/>
              <w:rPr>
                <w:rFonts w:ascii="宋体" w:hAnsi="宋体" w:cs="宋体"/>
                <w:szCs w:val="21"/>
              </w:rPr>
            </w:pPr>
          </w:p>
        </w:tc>
        <w:tc>
          <w:tcPr>
            <w:tcW w:w="1600" w:type="dxa"/>
          </w:tcPr>
          <w:p w14:paraId="1614603C">
            <w:pPr>
              <w:spacing w:line="360" w:lineRule="auto"/>
              <w:rPr>
                <w:rFonts w:ascii="宋体" w:hAnsi="宋体" w:cs="宋体"/>
                <w:szCs w:val="21"/>
              </w:rPr>
            </w:pPr>
          </w:p>
        </w:tc>
        <w:tc>
          <w:tcPr>
            <w:tcW w:w="1123" w:type="dxa"/>
          </w:tcPr>
          <w:p w14:paraId="498DFF69">
            <w:pPr>
              <w:spacing w:line="360" w:lineRule="auto"/>
              <w:rPr>
                <w:rFonts w:ascii="宋体" w:hAnsi="宋体" w:cs="宋体"/>
                <w:szCs w:val="21"/>
              </w:rPr>
            </w:pPr>
          </w:p>
        </w:tc>
        <w:tc>
          <w:tcPr>
            <w:tcW w:w="1123" w:type="dxa"/>
          </w:tcPr>
          <w:p w14:paraId="2039C65B">
            <w:pPr>
              <w:spacing w:line="360" w:lineRule="auto"/>
              <w:rPr>
                <w:rFonts w:ascii="宋体" w:hAnsi="宋体" w:cs="宋体"/>
                <w:szCs w:val="21"/>
              </w:rPr>
            </w:pPr>
          </w:p>
        </w:tc>
        <w:tc>
          <w:tcPr>
            <w:tcW w:w="1123" w:type="dxa"/>
          </w:tcPr>
          <w:p w14:paraId="5709E496">
            <w:pPr>
              <w:spacing w:line="360" w:lineRule="auto"/>
              <w:rPr>
                <w:rFonts w:ascii="宋体" w:hAnsi="宋体" w:cs="宋体"/>
                <w:szCs w:val="21"/>
              </w:rPr>
            </w:pPr>
          </w:p>
        </w:tc>
      </w:tr>
      <w:tr w14:paraId="1C46B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jc w:val="center"/>
        </w:trPr>
        <w:tc>
          <w:tcPr>
            <w:tcW w:w="551" w:type="dxa"/>
          </w:tcPr>
          <w:p w14:paraId="12C693E0">
            <w:pPr>
              <w:spacing w:line="360" w:lineRule="auto"/>
              <w:rPr>
                <w:rFonts w:ascii="宋体" w:hAnsi="宋体" w:cs="宋体"/>
                <w:szCs w:val="21"/>
              </w:rPr>
            </w:pPr>
            <w:r>
              <w:rPr>
                <w:rFonts w:hint="eastAsia" w:ascii="宋体" w:hAnsi="宋体" w:cs="宋体"/>
                <w:szCs w:val="21"/>
              </w:rPr>
              <w:t>5</w:t>
            </w:r>
          </w:p>
        </w:tc>
        <w:tc>
          <w:tcPr>
            <w:tcW w:w="1233" w:type="dxa"/>
          </w:tcPr>
          <w:p w14:paraId="0B75516D">
            <w:pPr>
              <w:spacing w:line="360" w:lineRule="auto"/>
              <w:rPr>
                <w:rFonts w:ascii="宋体" w:hAnsi="宋体" w:cs="宋体"/>
                <w:szCs w:val="21"/>
              </w:rPr>
            </w:pPr>
          </w:p>
        </w:tc>
        <w:tc>
          <w:tcPr>
            <w:tcW w:w="1742" w:type="dxa"/>
          </w:tcPr>
          <w:p w14:paraId="06C34EE0">
            <w:pPr>
              <w:spacing w:line="360" w:lineRule="auto"/>
              <w:rPr>
                <w:rFonts w:ascii="宋体" w:hAnsi="宋体" w:cs="宋体"/>
                <w:szCs w:val="21"/>
              </w:rPr>
            </w:pPr>
          </w:p>
        </w:tc>
        <w:tc>
          <w:tcPr>
            <w:tcW w:w="1600" w:type="dxa"/>
          </w:tcPr>
          <w:p w14:paraId="3B5A0AC2">
            <w:pPr>
              <w:spacing w:line="360" w:lineRule="auto"/>
              <w:rPr>
                <w:rFonts w:ascii="宋体" w:hAnsi="宋体" w:cs="宋体"/>
                <w:szCs w:val="21"/>
              </w:rPr>
            </w:pPr>
          </w:p>
        </w:tc>
        <w:tc>
          <w:tcPr>
            <w:tcW w:w="1123" w:type="dxa"/>
          </w:tcPr>
          <w:p w14:paraId="5E3420E8">
            <w:pPr>
              <w:spacing w:line="360" w:lineRule="auto"/>
              <w:rPr>
                <w:rFonts w:ascii="宋体" w:hAnsi="宋体" w:cs="宋体"/>
                <w:szCs w:val="21"/>
              </w:rPr>
            </w:pPr>
          </w:p>
        </w:tc>
        <w:tc>
          <w:tcPr>
            <w:tcW w:w="1123" w:type="dxa"/>
          </w:tcPr>
          <w:p w14:paraId="381A1B0F">
            <w:pPr>
              <w:spacing w:line="360" w:lineRule="auto"/>
              <w:rPr>
                <w:rFonts w:ascii="宋体" w:hAnsi="宋体" w:cs="宋体"/>
                <w:szCs w:val="21"/>
              </w:rPr>
            </w:pPr>
          </w:p>
        </w:tc>
        <w:tc>
          <w:tcPr>
            <w:tcW w:w="1123" w:type="dxa"/>
          </w:tcPr>
          <w:p w14:paraId="59CDF1A1">
            <w:pPr>
              <w:spacing w:line="360" w:lineRule="auto"/>
              <w:rPr>
                <w:rFonts w:ascii="宋体" w:hAnsi="宋体" w:cs="宋体"/>
                <w:szCs w:val="21"/>
              </w:rPr>
            </w:pPr>
          </w:p>
        </w:tc>
      </w:tr>
      <w:tr w14:paraId="493DF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jc w:val="center"/>
        </w:trPr>
        <w:tc>
          <w:tcPr>
            <w:tcW w:w="551" w:type="dxa"/>
          </w:tcPr>
          <w:p w14:paraId="540F16A8">
            <w:pPr>
              <w:spacing w:line="360" w:lineRule="auto"/>
              <w:rPr>
                <w:rFonts w:ascii="宋体" w:hAnsi="宋体" w:cs="宋体"/>
                <w:szCs w:val="21"/>
              </w:rPr>
            </w:pPr>
            <w:r>
              <w:rPr>
                <w:rFonts w:hint="eastAsia" w:ascii="宋体" w:hAnsi="宋体" w:cs="宋体"/>
                <w:szCs w:val="21"/>
              </w:rPr>
              <w:t>6</w:t>
            </w:r>
          </w:p>
        </w:tc>
        <w:tc>
          <w:tcPr>
            <w:tcW w:w="1233" w:type="dxa"/>
          </w:tcPr>
          <w:p w14:paraId="343A31B9">
            <w:pPr>
              <w:spacing w:line="360" w:lineRule="auto"/>
              <w:rPr>
                <w:rFonts w:ascii="宋体" w:hAnsi="宋体" w:cs="宋体"/>
                <w:szCs w:val="21"/>
              </w:rPr>
            </w:pPr>
          </w:p>
        </w:tc>
        <w:tc>
          <w:tcPr>
            <w:tcW w:w="1742" w:type="dxa"/>
          </w:tcPr>
          <w:p w14:paraId="5AFEC8A1">
            <w:pPr>
              <w:spacing w:line="360" w:lineRule="auto"/>
              <w:rPr>
                <w:rFonts w:ascii="宋体" w:hAnsi="宋体" w:cs="宋体"/>
                <w:szCs w:val="21"/>
              </w:rPr>
            </w:pPr>
          </w:p>
        </w:tc>
        <w:tc>
          <w:tcPr>
            <w:tcW w:w="1600" w:type="dxa"/>
          </w:tcPr>
          <w:p w14:paraId="695D2CAF">
            <w:pPr>
              <w:spacing w:line="360" w:lineRule="auto"/>
              <w:rPr>
                <w:rFonts w:ascii="宋体" w:hAnsi="宋体" w:cs="宋体"/>
                <w:szCs w:val="21"/>
              </w:rPr>
            </w:pPr>
          </w:p>
        </w:tc>
        <w:tc>
          <w:tcPr>
            <w:tcW w:w="1123" w:type="dxa"/>
          </w:tcPr>
          <w:p w14:paraId="6535749B">
            <w:pPr>
              <w:spacing w:line="360" w:lineRule="auto"/>
              <w:rPr>
                <w:rFonts w:ascii="宋体" w:hAnsi="宋体" w:cs="宋体"/>
                <w:szCs w:val="21"/>
              </w:rPr>
            </w:pPr>
          </w:p>
        </w:tc>
        <w:tc>
          <w:tcPr>
            <w:tcW w:w="1123" w:type="dxa"/>
          </w:tcPr>
          <w:p w14:paraId="7BF425F8">
            <w:pPr>
              <w:spacing w:line="360" w:lineRule="auto"/>
              <w:rPr>
                <w:rFonts w:ascii="宋体" w:hAnsi="宋体" w:cs="宋体"/>
                <w:szCs w:val="21"/>
              </w:rPr>
            </w:pPr>
          </w:p>
        </w:tc>
        <w:tc>
          <w:tcPr>
            <w:tcW w:w="1123" w:type="dxa"/>
          </w:tcPr>
          <w:p w14:paraId="6766205A">
            <w:pPr>
              <w:spacing w:line="360" w:lineRule="auto"/>
              <w:rPr>
                <w:rFonts w:ascii="宋体" w:hAnsi="宋体" w:cs="宋体"/>
                <w:szCs w:val="21"/>
              </w:rPr>
            </w:pPr>
          </w:p>
        </w:tc>
      </w:tr>
      <w:tr w14:paraId="3C812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5" w:hRule="atLeast"/>
          <w:jc w:val="center"/>
        </w:trPr>
        <w:tc>
          <w:tcPr>
            <w:tcW w:w="551" w:type="dxa"/>
          </w:tcPr>
          <w:p w14:paraId="51F7898A">
            <w:pPr>
              <w:spacing w:line="360" w:lineRule="auto"/>
              <w:rPr>
                <w:rFonts w:ascii="宋体" w:hAnsi="宋体" w:cs="宋体"/>
                <w:szCs w:val="21"/>
              </w:rPr>
            </w:pPr>
            <w:r>
              <w:rPr>
                <w:rFonts w:hint="eastAsia" w:ascii="宋体" w:hAnsi="宋体" w:cs="宋体"/>
                <w:szCs w:val="21"/>
              </w:rPr>
              <w:t>……</w:t>
            </w:r>
          </w:p>
        </w:tc>
        <w:tc>
          <w:tcPr>
            <w:tcW w:w="1233" w:type="dxa"/>
          </w:tcPr>
          <w:p w14:paraId="131EE829">
            <w:pPr>
              <w:spacing w:line="360" w:lineRule="auto"/>
              <w:rPr>
                <w:rFonts w:ascii="宋体" w:hAnsi="宋体" w:cs="宋体"/>
                <w:szCs w:val="21"/>
              </w:rPr>
            </w:pPr>
          </w:p>
        </w:tc>
        <w:tc>
          <w:tcPr>
            <w:tcW w:w="1742" w:type="dxa"/>
          </w:tcPr>
          <w:p w14:paraId="44A86CB0">
            <w:pPr>
              <w:spacing w:line="360" w:lineRule="auto"/>
              <w:rPr>
                <w:rFonts w:ascii="宋体" w:hAnsi="宋体" w:cs="宋体"/>
                <w:szCs w:val="21"/>
              </w:rPr>
            </w:pPr>
          </w:p>
        </w:tc>
        <w:tc>
          <w:tcPr>
            <w:tcW w:w="1600" w:type="dxa"/>
          </w:tcPr>
          <w:p w14:paraId="37FD6181">
            <w:pPr>
              <w:spacing w:line="360" w:lineRule="auto"/>
              <w:rPr>
                <w:rFonts w:ascii="宋体" w:hAnsi="宋体" w:cs="宋体"/>
                <w:szCs w:val="21"/>
              </w:rPr>
            </w:pPr>
          </w:p>
        </w:tc>
        <w:tc>
          <w:tcPr>
            <w:tcW w:w="1123" w:type="dxa"/>
          </w:tcPr>
          <w:p w14:paraId="0E159A0E">
            <w:pPr>
              <w:spacing w:line="360" w:lineRule="auto"/>
              <w:rPr>
                <w:rFonts w:ascii="宋体" w:hAnsi="宋体" w:cs="宋体"/>
                <w:szCs w:val="21"/>
              </w:rPr>
            </w:pPr>
          </w:p>
        </w:tc>
        <w:tc>
          <w:tcPr>
            <w:tcW w:w="1123" w:type="dxa"/>
          </w:tcPr>
          <w:p w14:paraId="4B540842">
            <w:pPr>
              <w:spacing w:line="360" w:lineRule="auto"/>
              <w:rPr>
                <w:rFonts w:ascii="宋体" w:hAnsi="宋体" w:cs="宋体"/>
                <w:szCs w:val="21"/>
              </w:rPr>
            </w:pPr>
          </w:p>
        </w:tc>
        <w:tc>
          <w:tcPr>
            <w:tcW w:w="1123" w:type="dxa"/>
          </w:tcPr>
          <w:p w14:paraId="684489FC">
            <w:pPr>
              <w:spacing w:line="360" w:lineRule="auto"/>
              <w:rPr>
                <w:rFonts w:ascii="宋体" w:hAnsi="宋体" w:cs="宋体"/>
                <w:szCs w:val="21"/>
              </w:rPr>
            </w:pPr>
          </w:p>
        </w:tc>
      </w:tr>
    </w:tbl>
    <w:p w14:paraId="09999AAA">
      <w:pPr>
        <w:spacing w:line="360" w:lineRule="auto"/>
        <w:ind w:firstLine="480"/>
        <w:rPr>
          <w:rFonts w:ascii="宋体" w:hAnsi="宋体" w:cs="宋体"/>
          <w:szCs w:val="21"/>
        </w:rPr>
      </w:pPr>
      <w:r>
        <w:rPr>
          <w:rFonts w:hint="eastAsia" w:ascii="宋体" w:hAnsi="宋体" w:cs="宋体"/>
          <w:szCs w:val="21"/>
        </w:rPr>
        <w:t>说明：</w:t>
      </w:r>
    </w:p>
    <w:p w14:paraId="11470CCA">
      <w:pPr>
        <w:spacing w:line="360" w:lineRule="auto"/>
        <w:ind w:firstLine="480"/>
        <w:rPr>
          <w:rFonts w:ascii="宋体" w:hAnsi="宋体" w:cs="宋体"/>
          <w:szCs w:val="21"/>
        </w:rPr>
      </w:pPr>
      <w:r>
        <w:rPr>
          <w:rFonts w:hint="eastAsia" w:ascii="宋体" w:hAnsi="宋体" w:cs="宋体"/>
          <w:szCs w:val="21"/>
        </w:rPr>
        <w:t>1.“采购文件规定的技术和商务要求”项下填写的内容应与招标文件中第二部分采购需求的商务技术要求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026F426A">
      <w:pPr>
        <w:spacing w:line="360" w:lineRule="auto"/>
        <w:ind w:firstLine="480"/>
        <w:rPr>
          <w:rFonts w:ascii="宋体" w:hAnsi="宋体" w:cs="宋体"/>
          <w:szCs w:val="21"/>
        </w:rPr>
      </w:pPr>
      <w:r>
        <w:rPr>
          <w:rFonts w:hint="eastAsia" w:ascii="宋体" w:hAnsi="宋体" w:cs="宋体"/>
          <w:szCs w:val="21"/>
        </w:rPr>
        <w:t>2.</w:t>
      </w:r>
      <w:r>
        <w:rPr>
          <w:rFonts w:hint="eastAsia" w:ascii="宋体" w:hAnsi="宋体" w:cs="宋体"/>
          <w:szCs w:val="21"/>
        </w:rPr>
        <w:tab/>
      </w:r>
      <w:r>
        <w:rPr>
          <w:rFonts w:hint="eastAsia" w:ascii="宋体" w:hAnsi="宋体" w:cs="宋体"/>
          <w:szCs w:val="21"/>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2243855">
      <w:pPr>
        <w:spacing w:line="360" w:lineRule="auto"/>
        <w:ind w:firstLine="480"/>
        <w:rPr>
          <w:rFonts w:ascii="宋体" w:hAnsi="宋体" w:cs="宋体"/>
          <w:szCs w:val="21"/>
        </w:rPr>
      </w:pPr>
      <w:r>
        <w:rPr>
          <w:rFonts w:hint="eastAsia" w:ascii="宋体" w:hAnsi="宋体" w:cs="宋体"/>
          <w:szCs w:val="21"/>
        </w:rPr>
        <w:t>3. “是否偏离”项下应按下列规定填写：优于的，填写“正偏离”；符合的，填写“无偏离”；低于的，填写“负偏离”。</w:t>
      </w:r>
    </w:p>
    <w:p w14:paraId="0E0F2D3E">
      <w:pPr>
        <w:spacing w:line="360" w:lineRule="auto"/>
        <w:ind w:firstLine="480"/>
        <w:rPr>
          <w:rFonts w:ascii="宋体" w:hAnsi="宋体" w:cs="宋体"/>
          <w:szCs w:val="21"/>
        </w:rPr>
      </w:pPr>
      <w:r>
        <w:rPr>
          <w:rFonts w:hint="eastAsia" w:ascii="宋体" w:hAnsi="宋体" w:cs="宋体"/>
          <w:szCs w:val="21"/>
        </w:rPr>
        <w:t>4.“备注”处可填写偏离情况的说明。</w:t>
      </w:r>
    </w:p>
    <w:p w14:paraId="6CCEFC60">
      <w:pPr>
        <w:spacing w:line="360" w:lineRule="auto"/>
        <w:rPr>
          <w:rFonts w:ascii="宋体" w:hAnsi="宋体" w:cs="宋体"/>
          <w:szCs w:val="21"/>
        </w:rPr>
      </w:pPr>
    </w:p>
    <w:p w14:paraId="08C549D1">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投标人法定代表人（或投标人授权代表）签字或盖章：</w:t>
      </w:r>
      <w:r>
        <w:rPr>
          <w:rFonts w:hint="eastAsia" w:ascii="宋体" w:hAnsi="宋体" w:cs="宋体"/>
          <w:szCs w:val="21"/>
          <w:u w:val="single"/>
        </w:rPr>
        <w:t xml:space="preserve">               </w:t>
      </w:r>
    </w:p>
    <w:p w14:paraId="685A0646">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投标人名称（盖章）：</w:t>
      </w:r>
      <w:r>
        <w:rPr>
          <w:rFonts w:hint="eastAsia" w:ascii="宋体" w:hAnsi="宋体" w:cs="宋体"/>
          <w:szCs w:val="21"/>
          <w:u w:val="single"/>
        </w:rPr>
        <w:t xml:space="preserve">                      </w:t>
      </w:r>
    </w:p>
    <w:p w14:paraId="381B2192">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367A332">
      <w:pPr>
        <w:spacing w:line="360" w:lineRule="auto"/>
        <w:rPr>
          <w:rFonts w:ascii="宋体" w:hAnsi="宋体" w:cs="宋体"/>
          <w:szCs w:val="21"/>
        </w:rPr>
      </w:pPr>
      <w:r>
        <w:rPr>
          <w:rFonts w:hint="eastAsia" w:ascii="宋体" w:hAnsi="宋体" w:cs="宋体"/>
          <w:szCs w:val="21"/>
        </w:rPr>
        <w:br w:type="page"/>
      </w:r>
    </w:p>
    <w:p w14:paraId="56247316">
      <w:pPr>
        <w:spacing w:line="360" w:lineRule="auto"/>
        <w:jc w:val="center"/>
        <w:rPr>
          <w:rFonts w:ascii="宋体" w:hAnsi="宋体" w:cs="宋体"/>
          <w:szCs w:val="21"/>
        </w:rPr>
      </w:pPr>
      <w:r>
        <w:rPr>
          <w:rFonts w:hint="eastAsia" w:ascii="宋体" w:hAnsi="宋体" w:cs="宋体"/>
          <w:szCs w:val="21"/>
        </w:rPr>
        <w:t>★条款证明材料</w:t>
      </w:r>
      <w:r>
        <w:rPr>
          <w:rFonts w:hint="eastAsia" w:ascii="宋体" w:hAnsi="宋体" w:cs="宋体"/>
          <w:b/>
          <w:szCs w:val="21"/>
        </w:rPr>
        <w:t>（若有）</w:t>
      </w:r>
    </w:p>
    <w:p w14:paraId="0EBEC8F3">
      <w:pPr>
        <w:spacing w:line="360" w:lineRule="auto"/>
        <w:ind w:firstLine="420" w:firstLineChars="200"/>
        <w:rPr>
          <w:rFonts w:ascii="宋体" w:hAnsi="宋体" w:cs="宋体"/>
          <w:szCs w:val="21"/>
        </w:rPr>
      </w:pPr>
      <w:r>
        <w:rPr>
          <w:rFonts w:hint="eastAsia" w:ascii="宋体" w:hAnsi="宋体" w:cs="宋体"/>
          <w:szCs w:val="21"/>
        </w:rPr>
        <w:t>1.</w:t>
      </w:r>
    </w:p>
    <w:p w14:paraId="33B1850B">
      <w:pPr>
        <w:spacing w:line="360" w:lineRule="auto"/>
        <w:ind w:firstLine="420" w:firstLineChars="200"/>
        <w:rPr>
          <w:rFonts w:ascii="宋体" w:hAnsi="宋体" w:cs="宋体"/>
          <w:b/>
          <w:szCs w:val="21"/>
        </w:rPr>
      </w:pPr>
      <w:r>
        <w:rPr>
          <w:rFonts w:hint="eastAsia" w:ascii="宋体" w:hAnsi="宋体" w:cs="宋体"/>
          <w:szCs w:val="21"/>
        </w:rPr>
        <w:t>2.</w:t>
      </w:r>
      <w:r>
        <w:rPr>
          <w:rFonts w:hint="eastAsia" w:ascii="宋体" w:hAnsi="宋体" w:cs="宋体"/>
          <w:szCs w:val="21"/>
        </w:rPr>
        <w:br w:type="page"/>
      </w:r>
      <w:r>
        <w:rPr>
          <w:rFonts w:hint="eastAsia" w:ascii="宋体" w:hAnsi="宋体" w:cs="宋体"/>
          <w:b/>
          <w:szCs w:val="21"/>
        </w:rPr>
        <w:t>4.1按招标文件</w:t>
      </w:r>
      <w:r>
        <w:rPr>
          <w:rFonts w:hint="eastAsia" w:ascii="宋体" w:hAnsi="宋体" w:cs="宋体"/>
          <w:b/>
          <w:bCs/>
          <w:szCs w:val="21"/>
        </w:rPr>
        <w:t>《评标办法》</w:t>
      </w:r>
      <w:r>
        <w:rPr>
          <w:rFonts w:hint="eastAsia" w:ascii="宋体" w:hAnsi="宋体" w:cs="宋体"/>
          <w:b/>
          <w:szCs w:val="21"/>
        </w:rPr>
        <w:t>要求依次编制投标方案</w:t>
      </w:r>
    </w:p>
    <w:p w14:paraId="24FB6463">
      <w:pPr>
        <w:pStyle w:val="2"/>
        <w:spacing w:line="360" w:lineRule="auto"/>
        <w:rPr>
          <w:rFonts w:ascii="宋体" w:hAnsi="宋体" w:cs="宋体"/>
          <w:b/>
          <w:szCs w:val="21"/>
        </w:rPr>
      </w:pPr>
    </w:p>
    <w:p w14:paraId="6567EAD7">
      <w:pPr>
        <w:spacing w:line="360" w:lineRule="auto"/>
        <w:ind w:firstLine="422" w:firstLineChars="200"/>
        <w:rPr>
          <w:rFonts w:ascii="宋体" w:hAnsi="宋体" w:cs="宋体"/>
          <w:b/>
          <w:szCs w:val="21"/>
        </w:rPr>
      </w:pPr>
      <w:r>
        <w:rPr>
          <w:rFonts w:hint="eastAsia" w:ascii="宋体" w:hAnsi="宋体" w:cs="宋体"/>
          <w:b/>
          <w:szCs w:val="21"/>
        </w:rPr>
        <w:br w:type="page"/>
      </w:r>
    </w:p>
    <w:p w14:paraId="694AE1B5">
      <w:pPr>
        <w:pStyle w:val="2"/>
        <w:spacing w:line="360" w:lineRule="auto"/>
        <w:ind w:firstLine="422" w:firstLineChars="200"/>
        <w:rPr>
          <w:rFonts w:ascii="宋体" w:hAnsi="宋体" w:cs="宋体"/>
          <w:b/>
          <w:szCs w:val="21"/>
        </w:rPr>
      </w:pPr>
      <w:r>
        <w:rPr>
          <w:rFonts w:hint="eastAsia" w:ascii="宋体" w:hAnsi="宋体" w:cs="宋体"/>
          <w:b/>
          <w:szCs w:val="21"/>
        </w:rPr>
        <w:t>4.2投标人认为有必要提交的其他资料</w:t>
      </w:r>
    </w:p>
    <w:p w14:paraId="1079F191">
      <w:pPr>
        <w:pStyle w:val="2"/>
        <w:spacing w:line="360" w:lineRule="auto"/>
        <w:ind w:firstLine="422" w:firstLineChars="200"/>
        <w:outlineLvl w:val="1"/>
        <w:rPr>
          <w:rFonts w:ascii="宋体" w:hAnsi="宋体" w:cs="宋体"/>
          <w:b/>
          <w:szCs w:val="21"/>
        </w:rPr>
      </w:pPr>
      <w:r>
        <w:rPr>
          <w:rFonts w:hint="eastAsia" w:ascii="宋体" w:hAnsi="宋体" w:cs="宋体"/>
          <w:b/>
          <w:szCs w:val="21"/>
        </w:rPr>
        <w:br w:type="page"/>
      </w:r>
      <w:r>
        <w:rPr>
          <w:rFonts w:hint="eastAsia" w:ascii="宋体" w:hAnsi="宋体" w:cs="宋体"/>
          <w:b/>
          <w:szCs w:val="21"/>
        </w:rPr>
        <w:t>五、价格部分</w:t>
      </w:r>
    </w:p>
    <w:p w14:paraId="0F63CE7B">
      <w:pPr>
        <w:spacing w:line="360" w:lineRule="auto"/>
        <w:ind w:firstLine="422" w:firstLineChars="200"/>
        <w:jc w:val="left"/>
        <w:rPr>
          <w:rFonts w:ascii="宋体" w:hAnsi="宋体" w:cs="宋体"/>
          <w:b/>
          <w:szCs w:val="21"/>
        </w:rPr>
      </w:pPr>
      <w:r>
        <w:rPr>
          <w:rFonts w:hint="eastAsia" w:ascii="宋体" w:hAnsi="宋体" w:cs="宋体"/>
          <w:b/>
          <w:szCs w:val="21"/>
        </w:rPr>
        <w:t>5.1开标/报价一览表</w:t>
      </w:r>
    </w:p>
    <w:tbl>
      <w:tblPr>
        <w:tblStyle w:val="2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14:paraId="5340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14:paraId="6009E050">
            <w:pPr>
              <w:spacing w:line="360" w:lineRule="auto"/>
              <w:jc w:val="center"/>
              <w:rPr>
                <w:rFonts w:ascii="宋体" w:hAnsi="宋体" w:cs="宋体"/>
                <w:bCs/>
                <w:szCs w:val="21"/>
              </w:rPr>
            </w:pPr>
            <w:r>
              <w:rPr>
                <w:rFonts w:hint="eastAsia" w:ascii="宋体" w:hAnsi="宋体" w:cs="宋体"/>
                <w:szCs w:val="21"/>
              </w:rPr>
              <w:t>采购项目名称</w:t>
            </w:r>
          </w:p>
        </w:tc>
        <w:tc>
          <w:tcPr>
            <w:tcW w:w="7632" w:type="dxa"/>
            <w:tcBorders>
              <w:bottom w:val="single" w:color="auto" w:sz="4" w:space="0"/>
            </w:tcBorders>
            <w:vAlign w:val="center"/>
          </w:tcPr>
          <w:p w14:paraId="39B9DDE9">
            <w:pPr>
              <w:spacing w:line="360" w:lineRule="auto"/>
              <w:jc w:val="center"/>
              <w:rPr>
                <w:rFonts w:ascii="宋体" w:hAnsi="宋体" w:cs="宋体"/>
                <w:bCs/>
                <w:szCs w:val="21"/>
              </w:rPr>
            </w:pPr>
            <w:r>
              <w:rPr>
                <w:rFonts w:hint="eastAsia" w:ascii="宋体" w:hAnsi="宋体" w:cs="宋体"/>
                <w:bCs/>
                <w:szCs w:val="21"/>
              </w:rPr>
              <w:t xml:space="preserve"> </w:t>
            </w:r>
          </w:p>
        </w:tc>
      </w:tr>
      <w:tr w14:paraId="6CC0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728" w:type="dxa"/>
            <w:vAlign w:val="center"/>
          </w:tcPr>
          <w:p w14:paraId="21ADD78A">
            <w:pPr>
              <w:spacing w:line="360" w:lineRule="auto"/>
              <w:jc w:val="center"/>
              <w:rPr>
                <w:rFonts w:ascii="宋体" w:hAnsi="宋体" w:cs="宋体"/>
                <w:szCs w:val="21"/>
              </w:rPr>
            </w:pPr>
            <w:r>
              <w:rPr>
                <w:rFonts w:hint="eastAsia" w:ascii="宋体" w:hAnsi="宋体" w:cs="宋体"/>
                <w:szCs w:val="21"/>
              </w:rPr>
              <w:t>采购编号</w:t>
            </w:r>
          </w:p>
        </w:tc>
        <w:tc>
          <w:tcPr>
            <w:tcW w:w="7632" w:type="dxa"/>
            <w:vAlign w:val="center"/>
          </w:tcPr>
          <w:p w14:paraId="63C2BDCF">
            <w:pPr>
              <w:pStyle w:val="29"/>
              <w:widowControl w:val="0"/>
              <w:pBdr>
                <w:bottom w:val="none" w:color="auto" w:sz="0" w:space="0"/>
                <w:right w:val="none" w:color="auto" w:sz="0" w:space="0"/>
              </w:pBdr>
              <w:spacing w:before="0" w:beforeAutospacing="0" w:after="0" w:afterAutospacing="0" w:line="360" w:lineRule="auto"/>
              <w:rPr>
                <w:rFonts w:cs="宋体"/>
                <w:bCs/>
                <w:kern w:val="2"/>
              </w:rPr>
            </w:pPr>
          </w:p>
        </w:tc>
      </w:tr>
      <w:tr w14:paraId="1880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00" w:hRule="atLeast"/>
        </w:trPr>
        <w:tc>
          <w:tcPr>
            <w:tcW w:w="1728" w:type="dxa"/>
            <w:vAlign w:val="center"/>
          </w:tcPr>
          <w:p w14:paraId="73EA65D9">
            <w:pPr>
              <w:spacing w:line="360" w:lineRule="auto"/>
              <w:jc w:val="center"/>
              <w:rPr>
                <w:rFonts w:ascii="宋体" w:hAnsi="宋体" w:cs="宋体"/>
                <w:szCs w:val="21"/>
              </w:rPr>
            </w:pPr>
            <w:r>
              <w:rPr>
                <w:rFonts w:hint="eastAsia" w:ascii="宋体" w:hAnsi="宋体" w:cs="宋体"/>
                <w:szCs w:val="21"/>
              </w:rPr>
              <w:t>&lt;总价/下浮率&gt;</w:t>
            </w:r>
          </w:p>
        </w:tc>
        <w:tc>
          <w:tcPr>
            <w:tcW w:w="7632" w:type="dxa"/>
            <w:vAlign w:val="center"/>
          </w:tcPr>
          <w:p w14:paraId="02B19D7A">
            <w:pPr>
              <w:spacing w:line="360" w:lineRule="auto"/>
              <w:jc w:val="center"/>
              <w:rPr>
                <w:rFonts w:ascii="宋体" w:hAnsi="宋体" w:cs="宋体"/>
                <w:bCs/>
                <w:szCs w:val="21"/>
              </w:rPr>
            </w:pPr>
          </w:p>
        </w:tc>
      </w:tr>
    </w:tbl>
    <w:p w14:paraId="350633C2">
      <w:pPr>
        <w:pStyle w:val="2"/>
        <w:spacing w:line="360" w:lineRule="auto"/>
        <w:rPr>
          <w:rFonts w:ascii="宋体" w:hAnsi="宋体" w:cs="宋体"/>
          <w:szCs w:val="21"/>
        </w:rPr>
      </w:pPr>
    </w:p>
    <w:p w14:paraId="66F1EAA5">
      <w:pPr>
        <w:spacing w:line="360" w:lineRule="auto"/>
        <w:ind w:firstLine="420" w:firstLineChars="200"/>
        <w:rPr>
          <w:rFonts w:ascii="宋体" w:hAnsi="宋体" w:cs="宋体"/>
          <w:szCs w:val="21"/>
        </w:rPr>
      </w:pPr>
      <w:r>
        <w:rPr>
          <w:rFonts w:hint="eastAsia" w:ascii="宋体" w:hAnsi="宋体" w:cs="宋体"/>
          <w:szCs w:val="21"/>
        </w:rPr>
        <w:t>注：投标人应在中易电子交易平台投标时进行填写，中易电子交易平台将自动根据供应商填写信息在线生成开标一览表，若在投标文件中出现非系统生成的开标一览表，且与中易电子交易平台生成的开标一览表信息内容不一致，以中易电子交易平台在线填写报价并生成的内容为准。</w:t>
      </w:r>
    </w:p>
    <w:p w14:paraId="4AE7644E">
      <w:pPr>
        <w:adjustRightInd w:val="0"/>
        <w:snapToGrid w:val="0"/>
        <w:spacing w:line="360" w:lineRule="auto"/>
        <w:rPr>
          <w:rFonts w:ascii="宋体" w:hAnsi="宋体" w:cs="宋体"/>
          <w:szCs w:val="21"/>
        </w:rPr>
      </w:pPr>
    </w:p>
    <w:p w14:paraId="13F50447">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投标人法定代表人（或投标人授权代表）签字或盖章：</w:t>
      </w:r>
      <w:r>
        <w:rPr>
          <w:rFonts w:hint="eastAsia" w:ascii="宋体" w:hAnsi="宋体" w:cs="宋体"/>
          <w:szCs w:val="21"/>
          <w:u w:val="single"/>
        </w:rPr>
        <w:t xml:space="preserve">               </w:t>
      </w:r>
    </w:p>
    <w:p w14:paraId="6DBC232B">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投标人名称（盖章）：</w:t>
      </w:r>
      <w:r>
        <w:rPr>
          <w:rFonts w:hint="eastAsia" w:ascii="宋体" w:hAnsi="宋体" w:cs="宋体"/>
          <w:szCs w:val="21"/>
          <w:u w:val="single"/>
        </w:rPr>
        <w:t xml:space="preserve">                      </w:t>
      </w:r>
    </w:p>
    <w:p w14:paraId="5AEAB8D1">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1E05D45">
      <w:pPr>
        <w:pStyle w:val="25"/>
        <w:jc w:val="both"/>
        <w:outlineLvl w:val="3"/>
        <w:rPr>
          <w:rFonts w:hint="default"/>
        </w:rPr>
      </w:pPr>
      <w:r>
        <w:rPr>
          <w:rFonts w:ascii="宋体" w:hAnsi="宋体" w:cs="宋体"/>
          <w:sz w:val="21"/>
          <w:szCs w:val="21"/>
        </w:rPr>
        <w:br w:type="page"/>
      </w:r>
      <w:r>
        <w:rPr>
          <w:rFonts w:hint="default"/>
          <w:b/>
          <w:sz w:val="24"/>
        </w:rPr>
        <w:t>5.2</w:t>
      </w:r>
      <w:r>
        <w:rPr>
          <w:b/>
          <w:sz w:val="24"/>
        </w:rPr>
        <w:t>分项报价表</w:t>
      </w:r>
    </w:p>
    <w:p w14:paraId="5DA18C83">
      <w:pPr>
        <w:adjustRightInd w:val="0"/>
        <w:snapToGrid w:val="0"/>
        <w:spacing w:line="360" w:lineRule="auto"/>
        <w:ind w:firstLine="420" w:firstLineChars="200"/>
        <w:rPr>
          <w:rFonts w:ascii="宋体" w:hAnsi="宋体" w:cs="宋体"/>
          <w:szCs w:val="21"/>
        </w:rPr>
      </w:pPr>
    </w:p>
    <w:tbl>
      <w:tblPr>
        <w:tblStyle w:val="20"/>
        <w:tblW w:w="831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67DCF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11A900">
            <w:pPr>
              <w:pStyle w:val="25"/>
              <w:rPr>
                <w:rFonts w:hint="default"/>
              </w:rPr>
            </w:pPr>
            <w:r>
              <w:t xml:space="preserve"> 品目号</w:t>
            </w:r>
          </w:p>
        </w:tc>
        <w:tc>
          <w:tcPr>
            <w:tcW w:w="831" w:type="dxa"/>
          </w:tcPr>
          <w:p w14:paraId="41210968">
            <w:pPr>
              <w:pStyle w:val="25"/>
              <w:rPr>
                <w:rFonts w:hint="default"/>
              </w:rPr>
            </w:pPr>
            <w:r>
              <w:t xml:space="preserve"> 序号</w:t>
            </w:r>
          </w:p>
        </w:tc>
        <w:tc>
          <w:tcPr>
            <w:tcW w:w="831" w:type="dxa"/>
          </w:tcPr>
          <w:p w14:paraId="1C03A867">
            <w:pPr>
              <w:pStyle w:val="25"/>
              <w:rPr>
                <w:rFonts w:hint="default"/>
              </w:rPr>
            </w:pPr>
            <w:r>
              <w:t xml:space="preserve"> 货物名称</w:t>
            </w:r>
          </w:p>
        </w:tc>
        <w:tc>
          <w:tcPr>
            <w:tcW w:w="831" w:type="dxa"/>
          </w:tcPr>
          <w:p w14:paraId="29165992">
            <w:pPr>
              <w:pStyle w:val="25"/>
              <w:rPr>
                <w:rFonts w:hint="default"/>
              </w:rPr>
            </w:pPr>
            <w:r>
              <w:t xml:space="preserve"> 规格型号</w:t>
            </w:r>
          </w:p>
        </w:tc>
        <w:tc>
          <w:tcPr>
            <w:tcW w:w="831" w:type="dxa"/>
          </w:tcPr>
          <w:p w14:paraId="638A67FA">
            <w:pPr>
              <w:pStyle w:val="25"/>
              <w:rPr>
                <w:rFonts w:hint="default"/>
              </w:rPr>
            </w:pPr>
            <w:r>
              <w:t xml:space="preserve"> 品牌</w:t>
            </w:r>
          </w:p>
        </w:tc>
        <w:tc>
          <w:tcPr>
            <w:tcW w:w="831" w:type="dxa"/>
          </w:tcPr>
          <w:p w14:paraId="6B9D2721">
            <w:pPr>
              <w:pStyle w:val="25"/>
              <w:rPr>
                <w:rFonts w:hint="default"/>
              </w:rPr>
            </w:pPr>
            <w:r>
              <w:t xml:space="preserve"> 产地</w:t>
            </w:r>
          </w:p>
        </w:tc>
        <w:tc>
          <w:tcPr>
            <w:tcW w:w="831" w:type="dxa"/>
          </w:tcPr>
          <w:p w14:paraId="2E613094">
            <w:pPr>
              <w:pStyle w:val="25"/>
              <w:rPr>
                <w:rFonts w:hint="default"/>
              </w:rPr>
            </w:pPr>
            <w:r>
              <w:t xml:space="preserve"> 制造商名称</w:t>
            </w:r>
          </w:p>
        </w:tc>
        <w:tc>
          <w:tcPr>
            <w:tcW w:w="831" w:type="dxa"/>
          </w:tcPr>
          <w:p w14:paraId="0DD6D418">
            <w:pPr>
              <w:pStyle w:val="25"/>
              <w:rPr>
                <w:rFonts w:hint="default"/>
              </w:rPr>
            </w:pPr>
            <w:r>
              <w:t xml:space="preserve"> 单价</w:t>
            </w:r>
          </w:p>
        </w:tc>
        <w:tc>
          <w:tcPr>
            <w:tcW w:w="831" w:type="dxa"/>
          </w:tcPr>
          <w:p w14:paraId="448BE082">
            <w:pPr>
              <w:pStyle w:val="25"/>
              <w:rPr>
                <w:rFonts w:hint="default"/>
              </w:rPr>
            </w:pPr>
            <w:r>
              <w:t xml:space="preserve"> 数量</w:t>
            </w:r>
          </w:p>
        </w:tc>
        <w:tc>
          <w:tcPr>
            <w:tcW w:w="831" w:type="dxa"/>
          </w:tcPr>
          <w:p w14:paraId="3884B79F">
            <w:pPr>
              <w:pStyle w:val="25"/>
              <w:rPr>
                <w:rFonts w:hint="default"/>
              </w:rPr>
            </w:pPr>
            <w:r>
              <w:t xml:space="preserve"> 总价</w:t>
            </w:r>
          </w:p>
        </w:tc>
      </w:tr>
      <w:tr w14:paraId="6C905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11C472">
            <w:pPr>
              <w:pStyle w:val="25"/>
              <w:rPr>
                <w:rFonts w:hint="default"/>
              </w:rPr>
            </w:pPr>
            <w:r>
              <w:t xml:space="preserve"> 1</w:t>
            </w:r>
          </w:p>
        </w:tc>
        <w:tc>
          <w:tcPr>
            <w:tcW w:w="831" w:type="dxa"/>
          </w:tcPr>
          <w:p w14:paraId="30FC6A9E"/>
        </w:tc>
        <w:tc>
          <w:tcPr>
            <w:tcW w:w="831" w:type="dxa"/>
          </w:tcPr>
          <w:p w14:paraId="1DAA000E"/>
        </w:tc>
        <w:tc>
          <w:tcPr>
            <w:tcW w:w="831" w:type="dxa"/>
          </w:tcPr>
          <w:p w14:paraId="11CB10FB"/>
        </w:tc>
        <w:tc>
          <w:tcPr>
            <w:tcW w:w="831" w:type="dxa"/>
          </w:tcPr>
          <w:p w14:paraId="18E42BA5"/>
        </w:tc>
        <w:tc>
          <w:tcPr>
            <w:tcW w:w="831" w:type="dxa"/>
          </w:tcPr>
          <w:p w14:paraId="343D2659"/>
        </w:tc>
        <w:tc>
          <w:tcPr>
            <w:tcW w:w="831" w:type="dxa"/>
          </w:tcPr>
          <w:p w14:paraId="449137AB"/>
        </w:tc>
        <w:tc>
          <w:tcPr>
            <w:tcW w:w="831" w:type="dxa"/>
          </w:tcPr>
          <w:p w14:paraId="587EDB7A"/>
        </w:tc>
        <w:tc>
          <w:tcPr>
            <w:tcW w:w="831" w:type="dxa"/>
          </w:tcPr>
          <w:p w14:paraId="745C298C"/>
        </w:tc>
        <w:tc>
          <w:tcPr>
            <w:tcW w:w="831" w:type="dxa"/>
          </w:tcPr>
          <w:p w14:paraId="6847AF19"/>
        </w:tc>
      </w:tr>
    </w:tbl>
    <w:p w14:paraId="26F7C110">
      <w:pPr>
        <w:pStyle w:val="25"/>
        <w:jc w:val="center"/>
        <w:outlineLvl w:val="3"/>
        <w:rPr>
          <w:rFonts w:hint="default"/>
          <w:b/>
          <w:sz w:val="24"/>
        </w:rPr>
      </w:pPr>
    </w:p>
    <w:p w14:paraId="56F9007A">
      <w:pPr>
        <w:pStyle w:val="25"/>
        <w:jc w:val="center"/>
        <w:outlineLvl w:val="3"/>
        <w:rPr>
          <w:rFonts w:hint="default"/>
          <w:b/>
          <w:sz w:val="24"/>
        </w:rPr>
      </w:pPr>
    </w:p>
    <w:tbl>
      <w:tblPr>
        <w:tblStyle w:val="20"/>
        <w:tblW w:w="871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8"/>
        <w:gridCol w:w="968"/>
        <w:gridCol w:w="968"/>
        <w:gridCol w:w="968"/>
        <w:gridCol w:w="968"/>
        <w:gridCol w:w="968"/>
        <w:gridCol w:w="968"/>
        <w:gridCol w:w="968"/>
        <w:gridCol w:w="968"/>
      </w:tblGrid>
      <w:tr w14:paraId="087C3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4" w:hRule="atLeast"/>
        </w:trPr>
        <w:tc>
          <w:tcPr>
            <w:tcW w:w="968" w:type="dxa"/>
          </w:tcPr>
          <w:p w14:paraId="0A104A36">
            <w:pPr>
              <w:pStyle w:val="25"/>
              <w:rPr>
                <w:rFonts w:hint="default"/>
              </w:rPr>
            </w:pPr>
            <w:r>
              <w:t xml:space="preserve"> 序号</w:t>
            </w:r>
          </w:p>
        </w:tc>
        <w:tc>
          <w:tcPr>
            <w:tcW w:w="968" w:type="dxa"/>
          </w:tcPr>
          <w:p w14:paraId="159D7133">
            <w:pPr>
              <w:pStyle w:val="25"/>
              <w:rPr>
                <w:rFonts w:hint="default"/>
              </w:rPr>
            </w:pPr>
            <w:r>
              <w:t>服务名称</w:t>
            </w:r>
          </w:p>
        </w:tc>
        <w:tc>
          <w:tcPr>
            <w:tcW w:w="968" w:type="dxa"/>
          </w:tcPr>
          <w:p w14:paraId="71CF75E9">
            <w:pPr>
              <w:pStyle w:val="25"/>
              <w:rPr>
                <w:rFonts w:hint="default"/>
              </w:rPr>
            </w:pPr>
            <w:r>
              <w:t>服务范围</w:t>
            </w:r>
          </w:p>
        </w:tc>
        <w:tc>
          <w:tcPr>
            <w:tcW w:w="968" w:type="dxa"/>
          </w:tcPr>
          <w:p w14:paraId="740BD90F">
            <w:pPr>
              <w:pStyle w:val="25"/>
              <w:rPr>
                <w:rFonts w:hint="default"/>
              </w:rPr>
            </w:pPr>
            <w:r>
              <w:t>服务要求</w:t>
            </w:r>
          </w:p>
        </w:tc>
        <w:tc>
          <w:tcPr>
            <w:tcW w:w="968" w:type="dxa"/>
          </w:tcPr>
          <w:p w14:paraId="314B61DB">
            <w:pPr>
              <w:pStyle w:val="25"/>
              <w:rPr>
                <w:rFonts w:hint="default"/>
              </w:rPr>
            </w:pPr>
            <w:r>
              <w:t>服务期限</w:t>
            </w:r>
          </w:p>
        </w:tc>
        <w:tc>
          <w:tcPr>
            <w:tcW w:w="968" w:type="dxa"/>
          </w:tcPr>
          <w:p w14:paraId="54CA0382">
            <w:pPr>
              <w:pStyle w:val="25"/>
              <w:rPr>
                <w:rFonts w:hint="default"/>
              </w:rPr>
            </w:pPr>
            <w:r>
              <w:t>服务标准</w:t>
            </w:r>
          </w:p>
        </w:tc>
        <w:tc>
          <w:tcPr>
            <w:tcW w:w="968" w:type="dxa"/>
          </w:tcPr>
          <w:p w14:paraId="243B5C9C">
            <w:pPr>
              <w:pStyle w:val="25"/>
              <w:rPr>
                <w:rFonts w:hint="default"/>
              </w:rPr>
            </w:pPr>
            <w:r>
              <w:t>单价</w:t>
            </w:r>
          </w:p>
        </w:tc>
        <w:tc>
          <w:tcPr>
            <w:tcW w:w="968" w:type="dxa"/>
          </w:tcPr>
          <w:p w14:paraId="7BC477B7">
            <w:pPr>
              <w:pStyle w:val="25"/>
              <w:rPr>
                <w:rFonts w:hint="default"/>
              </w:rPr>
            </w:pPr>
            <w:r>
              <w:t xml:space="preserve"> 数量</w:t>
            </w:r>
          </w:p>
        </w:tc>
        <w:tc>
          <w:tcPr>
            <w:tcW w:w="968" w:type="dxa"/>
          </w:tcPr>
          <w:p w14:paraId="18ECEB7E">
            <w:pPr>
              <w:pStyle w:val="25"/>
              <w:rPr>
                <w:rFonts w:hint="default"/>
              </w:rPr>
            </w:pPr>
            <w:r>
              <w:t xml:space="preserve"> 总价</w:t>
            </w:r>
          </w:p>
        </w:tc>
      </w:tr>
      <w:tr w14:paraId="43031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4" w:hRule="atLeast"/>
        </w:trPr>
        <w:tc>
          <w:tcPr>
            <w:tcW w:w="968" w:type="dxa"/>
          </w:tcPr>
          <w:p w14:paraId="733290D8"/>
        </w:tc>
        <w:tc>
          <w:tcPr>
            <w:tcW w:w="968" w:type="dxa"/>
          </w:tcPr>
          <w:p w14:paraId="14BAD3FD"/>
        </w:tc>
        <w:tc>
          <w:tcPr>
            <w:tcW w:w="968" w:type="dxa"/>
          </w:tcPr>
          <w:p w14:paraId="325E9DDC"/>
        </w:tc>
        <w:tc>
          <w:tcPr>
            <w:tcW w:w="968" w:type="dxa"/>
          </w:tcPr>
          <w:p w14:paraId="513CAA07"/>
        </w:tc>
        <w:tc>
          <w:tcPr>
            <w:tcW w:w="968" w:type="dxa"/>
          </w:tcPr>
          <w:p w14:paraId="08DF2317"/>
        </w:tc>
        <w:tc>
          <w:tcPr>
            <w:tcW w:w="968" w:type="dxa"/>
          </w:tcPr>
          <w:p w14:paraId="4151B3E4"/>
        </w:tc>
        <w:tc>
          <w:tcPr>
            <w:tcW w:w="968" w:type="dxa"/>
          </w:tcPr>
          <w:p w14:paraId="125CC252"/>
        </w:tc>
        <w:tc>
          <w:tcPr>
            <w:tcW w:w="968" w:type="dxa"/>
          </w:tcPr>
          <w:p w14:paraId="4097CE2E"/>
        </w:tc>
        <w:tc>
          <w:tcPr>
            <w:tcW w:w="968" w:type="dxa"/>
          </w:tcPr>
          <w:p w14:paraId="7590512C"/>
        </w:tc>
      </w:tr>
    </w:tbl>
    <w:p w14:paraId="5CEF66A6">
      <w:pPr>
        <w:pStyle w:val="25"/>
        <w:rPr>
          <w:rFonts w:hint="default"/>
          <w:lang w:eastAsia="zh-CN"/>
        </w:rPr>
      </w:pPr>
      <w:r>
        <w:rPr>
          <w:lang w:eastAsia="zh-CN"/>
        </w:rPr>
        <w:t>备注：以上内容可根据项目实际情况做适当调整。</w:t>
      </w:r>
    </w:p>
    <w:p w14:paraId="79B20D5A">
      <w:pPr>
        <w:adjustRightInd w:val="0"/>
        <w:snapToGrid w:val="0"/>
        <w:spacing w:line="360" w:lineRule="auto"/>
        <w:ind w:firstLine="420" w:firstLineChars="200"/>
        <w:rPr>
          <w:rFonts w:ascii="宋体" w:hAnsi="宋体" w:cs="宋体"/>
          <w:szCs w:val="21"/>
        </w:rPr>
      </w:pPr>
    </w:p>
    <w:p w14:paraId="7608A67D">
      <w:pPr>
        <w:adjustRightInd w:val="0"/>
        <w:snapToGrid w:val="0"/>
        <w:spacing w:line="360" w:lineRule="auto"/>
        <w:ind w:firstLine="420" w:firstLineChars="200"/>
        <w:rPr>
          <w:rFonts w:ascii="宋体" w:hAnsi="宋体" w:cs="宋体"/>
          <w:szCs w:val="21"/>
        </w:rPr>
      </w:pPr>
    </w:p>
    <w:p w14:paraId="1FBAC99D">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投标人法定代表人（或投标人授权代表）签字或盖章：</w:t>
      </w:r>
      <w:r>
        <w:rPr>
          <w:rFonts w:hint="eastAsia" w:ascii="宋体" w:hAnsi="宋体" w:cs="宋体"/>
          <w:szCs w:val="21"/>
          <w:u w:val="single"/>
        </w:rPr>
        <w:t xml:space="preserve">               </w:t>
      </w:r>
    </w:p>
    <w:p w14:paraId="6861379B">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投标人名称（盖章）：</w:t>
      </w:r>
      <w:r>
        <w:rPr>
          <w:rFonts w:hint="eastAsia" w:ascii="宋体" w:hAnsi="宋体" w:cs="宋体"/>
          <w:szCs w:val="21"/>
          <w:u w:val="single"/>
        </w:rPr>
        <w:t xml:space="preserve">                      </w:t>
      </w:r>
    </w:p>
    <w:p w14:paraId="73949155">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D8D4BAF">
      <w:pPr>
        <w:spacing w:line="360" w:lineRule="auto"/>
        <w:rPr>
          <w:rFonts w:ascii="宋体" w:hAnsi="宋体" w:cs="宋体"/>
          <w:szCs w:val="21"/>
        </w:rPr>
      </w:pPr>
    </w:p>
    <w:p w14:paraId="6E8D4F39">
      <w:pPr>
        <w:rPr>
          <w:rFonts w:cs="宋体"/>
          <w:b/>
          <w:bCs/>
          <w:szCs w:val="21"/>
        </w:rPr>
      </w:pPr>
      <w:r>
        <w:rPr>
          <w:rFonts w:hint="eastAsia" w:cs="宋体"/>
          <w:b/>
          <w:bCs/>
          <w:szCs w:val="21"/>
        </w:rPr>
        <w:br w:type="page"/>
      </w:r>
    </w:p>
    <w:p w14:paraId="0A8B73CF">
      <w:pPr>
        <w:pStyle w:val="3"/>
        <w:ind w:firstLine="0" w:firstLineChars="0"/>
        <w:jc w:val="center"/>
        <w:rPr>
          <w:sz w:val="21"/>
          <w:szCs w:val="21"/>
        </w:rPr>
      </w:pPr>
      <w:r>
        <w:rPr>
          <w:rFonts w:hint="eastAsia"/>
          <w:sz w:val="21"/>
          <w:szCs w:val="21"/>
        </w:rPr>
        <w:t>六、定标因素表</w:t>
      </w:r>
    </w:p>
    <w:p w14:paraId="03813224">
      <w:pPr>
        <w:pStyle w:val="19"/>
        <w:spacing w:line="360" w:lineRule="auto"/>
        <w:ind w:firstLine="0" w:firstLineChars="0"/>
        <w:rPr>
          <w:rFonts w:ascii="宋体" w:hAnsi="宋体" w:cs="宋体"/>
          <w:b/>
          <w:bCs/>
          <w:sz w:val="21"/>
          <w:szCs w:val="21"/>
        </w:rPr>
      </w:pPr>
    </w:p>
    <w:p w14:paraId="2A1D2F47">
      <w:pPr>
        <w:pStyle w:val="19"/>
        <w:spacing w:line="360" w:lineRule="auto"/>
        <w:ind w:firstLine="0" w:firstLineChars="0"/>
        <w:rPr>
          <w:rFonts w:ascii="宋体" w:hAnsi="宋体" w:cs="宋体"/>
          <w:sz w:val="21"/>
          <w:szCs w:val="21"/>
        </w:rPr>
      </w:pPr>
      <w:r>
        <w:rPr>
          <w:rFonts w:hint="eastAsia" w:ascii="宋体" w:hAnsi="宋体" w:cs="宋体"/>
          <w:b/>
          <w:bCs/>
          <w:sz w:val="21"/>
          <w:szCs w:val="21"/>
        </w:rPr>
        <w:t>投标单位名称：</w:t>
      </w:r>
    </w:p>
    <w:tbl>
      <w:tblPr>
        <w:tblStyle w:val="20"/>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60"/>
        <w:gridCol w:w="2003"/>
        <w:gridCol w:w="2767"/>
        <w:gridCol w:w="1464"/>
        <w:gridCol w:w="1050"/>
      </w:tblGrid>
      <w:tr w14:paraId="6808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vAlign w:val="center"/>
          </w:tcPr>
          <w:p w14:paraId="3E200FD5">
            <w:pPr>
              <w:adjustRightInd w:val="0"/>
              <w:snapToGrid w:val="0"/>
              <w:spacing w:line="360" w:lineRule="auto"/>
              <w:jc w:val="center"/>
              <w:rPr>
                <w:rFonts w:ascii="宋体" w:hAnsi="宋体" w:cs="宋体"/>
                <w:b/>
                <w:bCs/>
                <w:color w:val="auto"/>
                <w:szCs w:val="21"/>
              </w:rPr>
            </w:pPr>
            <w:r>
              <w:rPr>
                <w:rFonts w:hint="eastAsia" w:ascii="宋体" w:hAnsi="宋体" w:cs="宋体"/>
                <w:b/>
                <w:bCs/>
                <w:color w:val="auto"/>
                <w:szCs w:val="21"/>
              </w:rPr>
              <w:t>序号</w:t>
            </w:r>
          </w:p>
        </w:tc>
        <w:tc>
          <w:tcPr>
            <w:tcW w:w="3263" w:type="dxa"/>
            <w:gridSpan w:val="2"/>
            <w:vAlign w:val="center"/>
          </w:tcPr>
          <w:p w14:paraId="4F4A33E8">
            <w:pPr>
              <w:adjustRightInd w:val="0"/>
              <w:snapToGrid w:val="0"/>
              <w:spacing w:line="360" w:lineRule="auto"/>
              <w:jc w:val="center"/>
              <w:rPr>
                <w:rFonts w:ascii="宋体" w:hAnsi="宋体" w:cs="宋体"/>
                <w:b/>
                <w:bCs/>
                <w:color w:val="auto"/>
                <w:szCs w:val="21"/>
              </w:rPr>
            </w:pPr>
            <w:r>
              <w:rPr>
                <w:rFonts w:hint="eastAsia" w:ascii="宋体" w:hAnsi="宋体" w:cs="宋体"/>
                <w:b/>
                <w:bCs/>
                <w:color w:val="auto"/>
                <w:szCs w:val="21"/>
              </w:rPr>
              <w:t>定标因素</w:t>
            </w:r>
          </w:p>
        </w:tc>
        <w:tc>
          <w:tcPr>
            <w:tcW w:w="2767" w:type="dxa"/>
            <w:vAlign w:val="center"/>
          </w:tcPr>
          <w:p w14:paraId="3C7863C7">
            <w:pPr>
              <w:adjustRightInd w:val="0"/>
              <w:snapToGrid w:val="0"/>
              <w:spacing w:line="360" w:lineRule="auto"/>
              <w:jc w:val="center"/>
              <w:rPr>
                <w:rFonts w:ascii="宋体" w:hAnsi="宋体" w:cs="宋体"/>
                <w:b/>
                <w:bCs/>
                <w:color w:val="auto"/>
                <w:szCs w:val="21"/>
              </w:rPr>
            </w:pPr>
            <w:r>
              <w:rPr>
                <w:rFonts w:hint="eastAsia" w:ascii="宋体" w:hAnsi="宋体" w:cs="宋体"/>
                <w:b/>
                <w:bCs/>
                <w:color w:val="auto"/>
                <w:szCs w:val="21"/>
              </w:rPr>
              <w:t>投标人情况</w:t>
            </w:r>
          </w:p>
        </w:tc>
        <w:tc>
          <w:tcPr>
            <w:tcW w:w="1464" w:type="dxa"/>
            <w:vAlign w:val="center"/>
          </w:tcPr>
          <w:p w14:paraId="6AA41244">
            <w:pPr>
              <w:adjustRightInd w:val="0"/>
              <w:snapToGrid w:val="0"/>
              <w:spacing w:line="360" w:lineRule="auto"/>
              <w:jc w:val="center"/>
              <w:rPr>
                <w:rFonts w:ascii="宋体" w:hAnsi="宋体" w:cs="宋体"/>
                <w:b/>
                <w:bCs/>
                <w:color w:val="auto"/>
                <w:szCs w:val="21"/>
              </w:rPr>
            </w:pPr>
            <w:r>
              <w:rPr>
                <w:rFonts w:hint="eastAsia" w:ascii="宋体" w:hAnsi="宋体" w:cs="宋体"/>
                <w:b/>
                <w:bCs/>
                <w:color w:val="auto"/>
                <w:szCs w:val="21"/>
              </w:rPr>
              <w:t>证明材料所在页码</w:t>
            </w:r>
          </w:p>
        </w:tc>
        <w:tc>
          <w:tcPr>
            <w:tcW w:w="1050" w:type="dxa"/>
            <w:vAlign w:val="center"/>
          </w:tcPr>
          <w:p w14:paraId="2F26C9C2">
            <w:pPr>
              <w:adjustRightInd w:val="0"/>
              <w:snapToGrid w:val="0"/>
              <w:spacing w:line="360" w:lineRule="auto"/>
              <w:jc w:val="center"/>
              <w:rPr>
                <w:rFonts w:ascii="宋体" w:hAnsi="宋体" w:cs="宋体"/>
                <w:b/>
                <w:bCs/>
                <w:color w:val="auto"/>
                <w:szCs w:val="21"/>
              </w:rPr>
            </w:pPr>
            <w:r>
              <w:rPr>
                <w:rFonts w:hint="eastAsia" w:ascii="宋体" w:hAnsi="宋体" w:cs="宋体"/>
                <w:b/>
                <w:bCs/>
                <w:color w:val="auto"/>
                <w:szCs w:val="21"/>
              </w:rPr>
              <w:t>备注</w:t>
            </w:r>
          </w:p>
        </w:tc>
      </w:tr>
      <w:tr w14:paraId="6ACA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vAlign w:val="center"/>
          </w:tcPr>
          <w:p w14:paraId="497B680D">
            <w:pPr>
              <w:numPr>
                <w:ilvl w:val="0"/>
                <w:numId w:val="13"/>
              </w:numPr>
              <w:adjustRightInd w:val="0"/>
              <w:snapToGrid w:val="0"/>
              <w:spacing w:line="360" w:lineRule="auto"/>
              <w:jc w:val="center"/>
              <w:rPr>
                <w:rFonts w:ascii="宋体" w:hAnsi="宋体" w:cs="宋体"/>
                <w:color w:val="auto"/>
                <w:szCs w:val="21"/>
              </w:rPr>
            </w:pPr>
          </w:p>
        </w:tc>
        <w:tc>
          <w:tcPr>
            <w:tcW w:w="1260" w:type="dxa"/>
            <w:vAlign w:val="center"/>
          </w:tcPr>
          <w:p w14:paraId="608CAC80">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企业实力</w:t>
            </w:r>
          </w:p>
        </w:tc>
        <w:tc>
          <w:tcPr>
            <w:tcW w:w="2003" w:type="dxa"/>
            <w:vAlign w:val="center"/>
          </w:tcPr>
          <w:p w14:paraId="7D91F47C">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自行提交材料</w:t>
            </w:r>
          </w:p>
        </w:tc>
        <w:tc>
          <w:tcPr>
            <w:tcW w:w="2767" w:type="dxa"/>
            <w:vAlign w:val="center"/>
          </w:tcPr>
          <w:p w14:paraId="5BDD79D5">
            <w:pPr>
              <w:adjustRightInd w:val="0"/>
              <w:snapToGrid w:val="0"/>
              <w:spacing w:line="360" w:lineRule="auto"/>
              <w:jc w:val="left"/>
              <w:rPr>
                <w:rFonts w:ascii="宋体" w:hAnsi="宋体" w:cs="宋体"/>
                <w:color w:val="auto"/>
                <w:szCs w:val="21"/>
              </w:rPr>
            </w:pPr>
          </w:p>
        </w:tc>
        <w:tc>
          <w:tcPr>
            <w:tcW w:w="1464" w:type="dxa"/>
          </w:tcPr>
          <w:p w14:paraId="0F7D62DC">
            <w:pPr>
              <w:adjustRightInd w:val="0"/>
              <w:snapToGrid w:val="0"/>
              <w:spacing w:line="360" w:lineRule="auto"/>
              <w:jc w:val="center"/>
              <w:rPr>
                <w:rFonts w:ascii="宋体" w:hAnsi="宋体" w:cs="宋体"/>
                <w:color w:val="auto"/>
                <w:szCs w:val="21"/>
              </w:rPr>
            </w:pPr>
          </w:p>
        </w:tc>
        <w:tc>
          <w:tcPr>
            <w:tcW w:w="1050" w:type="dxa"/>
            <w:vAlign w:val="center"/>
          </w:tcPr>
          <w:p w14:paraId="3E99828E">
            <w:pPr>
              <w:adjustRightInd w:val="0"/>
              <w:snapToGrid w:val="0"/>
              <w:spacing w:line="360" w:lineRule="auto"/>
              <w:jc w:val="center"/>
              <w:rPr>
                <w:rFonts w:ascii="宋体" w:hAnsi="宋体" w:cs="宋体"/>
                <w:color w:val="auto"/>
                <w:szCs w:val="21"/>
              </w:rPr>
            </w:pPr>
          </w:p>
        </w:tc>
      </w:tr>
      <w:tr w14:paraId="41BC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vAlign w:val="center"/>
          </w:tcPr>
          <w:p w14:paraId="37DF757D">
            <w:pPr>
              <w:numPr>
                <w:ilvl w:val="0"/>
                <w:numId w:val="13"/>
              </w:numPr>
              <w:adjustRightInd w:val="0"/>
              <w:snapToGrid w:val="0"/>
              <w:spacing w:line="360" w:lineRule="auto"/>
              <w:jc w:val="center"/>
              <w:rPr>
                <w:rFonts w:ascii="宋体" w:hAnsi="宋体" w:cs="宋体"/>
                <w:color w:val="auto"/>
                <w:szCs w:val="21"/>
              </w:rPr>
            </w:pPr>
          </w:p>
        </w:tc>
        <w:tc>
          <w:tcPr>
            <w:tcW w:w="1260" w:type="dxa"/>
            <w:vAlign w:val="center"/>
          </w:tcPr>
          <w:p w14:paraId="67DF6D45">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企业信誉</w:t>
            </w:r>
          </w:p>
        </w:tc>
        <w:tc>
          <w:tcPr>
            <w:tcW w:w="2003" w:type="dxa"/>
            <w:vAlign w:val="center"/>
          </w:tcPr>
          <w:p w14:paraId="1A5872E1">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自行提交材料</w:t>
            </w:r>
          </w:p>
        </w:tc>
        <w:tc>
          <w:tcPr>
            <w:tcW w:w="2767" w:type="dxa"/>
            <w:vAlign w:val="center"/>
          </w:tcPr>
          <w:p w14:paraId="36C0391A">
            <w:pPr>
              <w:adjustRightInd w:val="0"/>
              <w:snapToGrid w:val="0"/>
              <w:spacing w:line="360" w:lineRule="auto"/>
              <w:jc w:val="left"/>
              <w:rPr>
                <w:rFonts w:ascii="宋体" w:hAnsi="宋体" w:cs="宋体"/>
                <w:color w:val="auto"/>
                <w:szCs w:val="21"/>
              </w:rPr>
            </w:pPr>
          </w:p>
        </w:tc>
        <w:tc>
          <w:tcPr>
            <w:tcW w:w="1464" w:type="dxa"/>
          </w:tcPr>
          <w:p w14:paraId="0DA20DC9">
            <w:pPr>
              <w:adjustRightInd w:val="0"/>
              <w:snapToGrid w:val="0"/>
              <w:spacing w:line="360" w:lineRule="auto"/>
              <w:jc w:val="center"/>
              <w:rPr>
                <w:rFonts w:ascii="宋体" w:hAnsi="宋体" w:cs="宋体"/>
                <w:color w:val="auto"/>
                <w:szCs w:val="21"/>
              </w:rPr>
            </w:pPr>
          </w:p>
        </w:tc>
        <w:tc>
          <w:tcPr>
            <w:tcW w:w="1050" w:type="dxa"/>
            <w:vAlign w:val="center"/>
          </w:tcPr>
          <w:p w14:paraId="36E17286">
            <w:pPr>
              <w:adjustRightInd w:val="0"/>
              <w:snapToGrid w:val="0"/>
              <w:spacing w:line="360" w:lineRule="auto"/>
              <w:jc w:val="center"/>
              <w:rPr>
                <w:rFonts w:ascii="宋体" w:hAnsi="宋体" w:cs="宋体"/>
                <w:color w:val="auto"/>
                <w:szCs w:val="21"/>
              </w:rPr>
            </w:pPr>
          </w:p>
        </w:tc>
      </w:tr>
      <w:tr w14:paraId="26C7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vAlign w:val="center"/>
          </w:tcPr>
          <w:p w14:paraId="6FF280E7">
            <w:pPr>
              <w:numPr>
                <w:ilvl w:val="0"/>
                <w:numId w:val="13"/>
              </w:numPr>
              <w:adjustRightInd w:val="0"/>
              <w:snapToGrid w:val="0"/>
              <w:spacing w:line="360" w:lineRule="auto"/>
              <w:jc w:val="center"/>
              <w:rPr>
                <w:rFonts w:ascii="宋体" w:hAnsi="宋体" w:cs="宋体"/>
                <w:color w:val="auto"/>
                <w:szCs w:val="21"/>
              </w:rPr>
            </w:pPr>
          </w:p>
        </w:tc>
        <w:tc>
          <w:tcPr>
            <w:tcW w:w="1260" w:type="dxa"/>
            <w:vAlign w:val="center"/>
          </w:tcPr>
          <w:p w14:paraId="7A375E79">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投标文件响应情况</w:t>
            </w:r>
          </w:p>
        </w:tc>
        <w:tc>
          <w:tcPr>
            <w:tcW w:w="2003" w:type="dxa"/>
            <w:vAlign w:val="center"/>
          </w:tcPr>
          <w:p w14:paraId="6173C9ED">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按投标文件响应内容提供，提交汇总表</w:t>
            </w:r>
          </w:p>
        </w:tc>
        <w:tc>
          <w:tcPr>
            <w:tcW w:w="2767" w:type="dxa"/>
            <w:vAlign w:val="center"/>
          </w:tcPr>
          <w:p w14:paraId="07353AE7">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招标文件需求内容</w:t>
            </w:r>
            <w:r>
              <w:rPr>
                <w:rFonts w:hint="eastAsia" w:ascii="宋体" w:hAnsi="宋体" w:cs="宋体"/>
                <w:color w:val="auto"/>
                <w:szCs w:val="21"/>
              </w:rPr>
              <w:br w:type="textWrapping"/>
            </w:r>
            <w:r>
              <w:rPr>
                <w:rFonts w:hint="eastAsia" w:ascii="宋体" w:hAnsi="宋体" w:cs="宋体"/>
                <w:color w:val="auto"/>
                <w:szCs w:val="21"/>
              </w:rPr>
              <w:t>负偏离：XX条</w:t>
            </w:r>
          </w:p>
        </w:tc>
        <w:tc>
          <w:tcPr>
            <w:tcW w:w="1464" w:type="dxa"/>
          </w:tcPr>
          <w:p w14:paraId="52E35C60">
            <w:pPr>
              <w:adjustRightInd w:val="0"/>
              <w:snapToGrid w:val="0"/>
              <w:spacing w:line="360" w:lineRule="auto"/>
              <w:jc w:val="center"/>
              <w:rPr>
                <w:rFonts w:ascii="宋体" w:hAnsi="宋体" w:cs="宋体"/>
                <w:color w:val="auto"/>
                <w:szCs w:val="21"/>
              </w:rPr>
            </w:pPr>
          </w:p>
        </w:tc>
        <w:tc>
          <w:tcPr>
            <w:tcW w:w="1050" w:type="dxa"/>
            <w:vAlign w:val="center"/>
          </w:tcPr>
          <w:p w14:paraId="07A777EC">
            <w:pPr>
              <w:adjustRightInd w:val="0"/>
              <w:snapToGrid w:val="0"/>
              <w:spacing w:line="360" w:lineRule="auto"/>
              <w:jc w:val="center"/>
              <w:rPr>
                <w:rFonts w:ascii="宋体" w:hAnsi="宋体" w:cs="宋体"/>
                <w:color w:val="auto"/>
                <w:szCs w:val="21"/>
              </w:rPr>
            </w:pPr>
          </w:p>
        </w:tc>
      </w:tr>
      <w:tr w14:paraId="3EE0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vAlign w:val="center"/>
          </w:tcPr>
          <w:p w14:paraId="1B092956">
            <w:pPr>
              <w:numPr>
                <w:ilvl w:val="0"/>
                <w:numId w:val="13"/>
              </w:numPr>
              <w:adjustRightInd w:val="0"/>
              <w:snapToGrid w:val="0"/>
              <w:spacing w:line="360" w:lineRule="auto"/>
              <w:jc w:val="center"/>
              <w:rPr>
                <w:rFonts w:ascii="宋体" w:hAnsi="宋体" w:cs="宋体"/>
                <w:color w:val="auto"/>
                <w:szCs w:val="21"/>
              </w:rPr>
            </w:pPr>
          </w:p>
        </w:tc>
        <w:tc>
          <w:tcPr>
            <w:tcW w:w="1260" w:type="dxa"/>
            <w:vAlign w:val="center"/>
          </w:tcPr>
          <w:p w14:paraId="0E1D9B3F">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投标报价</w:t>
            </w:r>
          </w:p>
        </w:tc>
        <w:tc>
          <w:tcPr>
            <w:tcW w:w="2003" w:type="dxa"/>
            <w:vAlign w:val="center"/>
          </w:tcPr>
          <w:p w14:paraId="6A48FDE9">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按投标文件内容提供</w:t>
            </w:r>
          </w:p>
        </w:tc>
        <w:tc>
          <w:tcPr>
            <w:tcW w:w="2767" w:type="dxa"/>
            <w:vAlign w:val="center"/>
          </w:tcPr>
          <w:p w14:paraId="3F543CA6">
            <w:pPr>
              <w:adjustRightInd w:val="0"/>
              <w:snapToGrid w:val="0"/>
              <w:spacing w:line="360" w:lineRule="auto"/>
              <w:jc w:val="left"/>
              <w:rPr>
                <w:rFonts w:ascii="宋体" w:hAnsi="宋体" w:cs="宋体"/>
                <w:color w:val="auto"/>
                <w:szCs w:val="21"/>
              </w:rPr>
            </w:pPr>
          </w:p>
        </w:tc>
        <w:tc>
          <w:tcPr>
            <w:tcW w:w="1464" w:type="dxa"/>
          </w:tcPr>
          <w:p w14:paraId="1A9F50EB">
            <w:pPr>
              <w:adjustRightInd w:val="0"/>
              <w:snapToGrid w:val="0"/>
              <w:spacing w:line="360" w:lineRule="auto"/>
              <w:jc w:val="center"/>
              <w:rPr>
                <w:rFonts w:ascii="宋体" w:hAnsi="宋体" w:cs="宋体"/>
                <w:color w:val="auto"/>
                <w:szCs w:val="21"/>
              </w:rPr>
            </w:pPr>
          </w:p>
        </w:tc>
        <w:tc>
          <w:tcPr>
            <w:tcW w:w="1050" w:type="dxa"/>
            <w:vAlign w:val="center"/>
          </w:tcPr>
          <w:p w14:paraId="4CCEB84F">
            <w:pPr>
              <w:adjustRightInd w:val="0"/>
              <w:snapToGrid w:val="0"/>
              <w:spacing w:line="360" w:lineRule="auto"/>
              <w:jc w:val="center"/>
              <w:rPr>
                <w:rFonts w:ascii="宋体" w:hAnsi="宋体" w:cs="宋体"/>
                <w:color w:val="auto"/>
                <w:szCs w:val="21"/>
              </w:rPr>
            </w:pPr>
          </w:p>
        </w:tc>
      </w:tr>
      <w:tr w14:paraId="288B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vAlign w:val="center"/>
          </w:tcPr>
          <w:p w14:paraId="7BAC8F33">
            <w:pPr>
              <w:numPr>
                <w:ilvl w:val="0"/>
                <w:numId w:val="13"/>
              </w:numPr>
              <w:adjustRightInd w:val="0"/>
              <w:snapToGrid w:val="0"/>
              <w:spacing w:line="360" w:lineRule="auto"/>
              <w:jc w:val="center"/>
              <w:rPr>
                <w:rFonts w:ascii="宋体" w:hAnsi="宋体" w:cs="宋体"/>
                <w:color w:val="auto"/>
                <w:szCs w:val="21"/>
              </w:rPr>
            </w:pPr>
          </w:p>
        </w:tc>
        <w:tc>
          <w:tcPr>
            <w:tcW w:w="1260" w:type="dxa"/>
            <w:vAlign w:val="center"/>
          </w:tcPr>
          <w:p w14:paraId="6FA84674">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拟派团队管理能力与水平</w:t>
            </w:r>
          </w:p>
        </w:tc>
        <w:tc>
          <w:tcPr>
            <w:tcW w:w="2003" w:type="dxa"/>
            <w:vAlign w:val="center"/>
          </w:tcPr>
          <w:p w14:paraId="7C0D992E">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按投标文件内容提供</w:t>
            </w:r>
          </w:p>
        </w:tc>
        <w:tc>
          <w:tcPr>
            <w:tcW w:w="2767" w:type="dxa"/>
            <w:vAlign w:val="center"/>
          </w:tcPr>
          <w:p w14:paraId="7291EB9E">
            <w:pPr>
              <w:adjustRightInd w:val="0"/>
              <w:snapToGrid w:val="0"/>
              <w:spacing w:line="360" w:lineRule="auto"/>
              <w:jc w:val="left"/>
              <w:rPr>
                <w:rFonts w:ascii="宋体" w:hAnsi="宋体" w:cs="宋体"/>
                <w:color w:val="auto"/>
                <w:szCs w:val="21"/>
              </w:rPr>
            </w:pPr>
          </w:p>
        </w:tc>
        <w:tc>
          <w:tcPr>
            <w:tcW w:w="1464" w:type="dxa"/>
          </w:tcPr>
          <w:p w14:paraId="50E661AF">
            <w:pPr>
              <w:adjustRightInd w:val="0"/>
              <w:snapToGrid w:val="0"/>
              <w:spacing w:line="360" w:lineRule="auto"/>
              <w:jc w:val="center"/>
              <w:rPr>
                <w:rFonts w:ascii="宋体" w:hAnsi="宋体" w:cs="宋体"/>
                <w:color w:val="auto"/>
                <w:szCs w:val="21"/>
              </w:rPr>
            </w:pPr>
          </w:p>
        </w:tc>
        <w:tc>
          <w:tcPr>
            <w:tcW w:w="1050" w:type="dxa"/>
            <w:vAlign w:val="center"/>
          </w:tcPr>
          <w:p w14:paraId="628443B4">
            <w:pPr>
              <w:adjustRightInd w:val="0"/>
              <w:snapToGrid w:val="0"/>
              <w:spacing w:line="360" w:lineRule="auto"/>
              <w:jc w:val="center"/>
              <w:rPr>
                <w:rFonts w:ascii="宋体" w:hAnsi="宋体" w:cs="宋体"/>
                <w:color w:val="auto"/>
                <w:szCs w:val="21"/>
              </w:rPr>
            </w:pPr>
          </w:p>
        </w:tc>
      </w:tr>
      <w:tr w14:paraId="240D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vAlign w:val="center"/>
          </w:tcPr>
          <w:p w14:paraId="76340B18">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w:t>
            </w:r>
          </w:p>
        </w:tc>
        <w:tc>
          <w:tcPr>
            <w:tcW w:w="1260" w:type="dxa"/>
            <w:vAlign w:val="center"/>
          </w:tcPr>
          <w:p w14:paraId="26B73319">
            <w:pPr>
              <w:adjustRightInd w:val="0"/>
              <w:snapToGrid w:val="0"/>
              <w:spacing w:line="360" w:lineRule="auto"/>
              <w:jc w:val="center"/>
              <w:rPr>
                <w:rFonts w:ascii="宋体" w:hAnsi="宋体" w:cs="宋体"/>
                <w:color w:val="auto"/>
                <w:szCs w:val="21"/>
              </w:rPr>
            </w:pPr>
          </w:p>
        </w:tc>
        <w:tc>
          <w:tcPr>
            <w:tcW w:w="2003" w:type="dxa"/>
            <w:vAlign w:val="center"/>
          </w:tcPr>
          <w:p w14:paraId="7AF6A1CF">
            <w:pPr>
              <w:adjustRightInd w:val="0"/>
              <w:snapToGrid w:val="0"/>
              <w:spacing w:line="360" w:lineRule="auto"/>
              <w:jc w:val="center"/>
              <w:rPr>
                <w:rFonts w:ascii="宋体" w:hAnsi="宋体" w:cs="宋体"/>
                <w:color w:val="auto"/>
                <w:szCs w:val="21"/>
              </w:rPr>
            </w:pPr>
          </w:p>
        </w:tc>
        <w:tc>
          <w:tcPr>
            <w:tcW w:w="2767" w:type="dxa"/>
            <w:vAlign w:val="center"/>
          </w:tcPr>
          <w:p w14:paraId="6C423D0C">
            <w:pPr>
              <w:adjustRightInd w:val="0"/>
              <w:snapToGrid w:val="0"/>
              <w:spacing w:line="360" w:lineRule="auto"/>
              <w:jc w:val="left"/>
              <w:rPr>
                <w:rFonts w:ascii="宋体" w:hAnsi="宋体" w:cs="宋体"/>
                <w:color w:val="auto"/>
                <w:szCs w:val="21"/>
              </w:rPr>
            </w:pPr>
          </w:p>
        </w:tc>
        <w:tc>
          <w:tcPr>
            <w:tcW w:w="1464" w:type="dxa"/>
          </w:tcPr>
          <w:p w14:paraId="5112D551">
            <w:pPr>
              <w:adjustRightInd w:val="0"/>
              <w:snapToGrid w:val="0"/>
              <w:spacing w:line="360" w:lineRule="auto"/>
              <w:jc w:val="center"/>
              <w:rPr>
                <w:rFonts w:ascii="宋体" w:hAnsi="宋体" w:cs="宋体"/>
                <w:color w:val="auto"/>
                <w:szCs w:val="21"/>
              </w:rPr>
            </w:pPr>
          </w:p>
        </w:tc>
        <w:tc>
          <w:tcPr>
            <w:tcW w:w="1050" w:type="dxa"/>
            <w:vAlign w:val="center"/>
          </w:tcPr>
          <w:p w14:paraId="34D19424">
            <w:pPr>
              <w:adjustRightInd w:val="0"/>
              <w:snapToGrid w:val="0"/>
              <w:spacing w:line="360" w:lineRule="auto"/>
              <w:jc w:val="center"/>
              <w:rPr>
                <w:rFonts w:ascii="宋体" w:hAnsi="宋体" w:cs="宋体"/>
                <w:color w:val="auto"/>
                <w:szCs w:val="21"/>
              </w:rPr>
            </w:pPr>
          </w:p>
        </w:tc>
      </w:tr>
    </w:tbl>
    <w:p w14:paraId="092D9B2F">
      <w:pPr>
        <w:spacing w:line="360" w:lineRule="auto"/>
        <w:rPr>
          <w:rFonts w:ascii="宋体" w:hAnsi="宋体" w:cs="宋体"/>
          <w:szCs w:val="21"/>
        </w:rPr>
      </w:pPr>
      <w:r>
        <w:rPr>
          <w:rFonts w:hint="eastAsia" w:ascii="宋体" w:hAnsi="宋体" w:cs="宋体"/>
          <w:szCs w:val="21"/>
        </w:rPr>
        <w:br w:type="page"/>
      </w:r>
    </w:p>
    <w:p w14:paraId="084B3CB7">
      <w:pPr>
        <w:autoSpaceDE w:val="0"/>
        <w:autoSpaceDN w:val="0"/>
        <w:adjustRightInd w:val="0"/>
        <w:snapToGrid w:val="0"/>
        <w:spacing w:line="360" w:lineRule="auto"/>
        <w:ind w:firstLine="422" w:firstLineChars="200"/>
        <w:outlineLvl w:val="0"/>
        <w:rPr>
          <w:rFonts w:ascii="宋体" w:hAnsi="宋体" w:cs="宋体"/>
          <w:b/>
          <w:szCs w:val="21"/>
        </w:rPr>
      </w:pPr>
      <w:bookmarkStart w:id="12" w:name="_Toc21759"/>
      <w:bookmarkStart w:id="13" w:name="_Toc20590"/>
      <w:r>
        <w:rPr>
          <w:rFonts w:hint="eastAsia" w:ascii="宋体" w:hAnsi="宋体" w:cs="宋体"/>
          <w:b/>
          <w:bCs/>
          <w:szCs w:val="21"/>
        </w:rPr>
        <w:t>政府采购</w:t>
      </w:r>
      <w:r>
        <w:rPr>
          <w:rFonts w:hint="eastAsia" w:ascii="宋体" w:hAnsi="宋体" w:cs="宋体"/>
          <w:b/>
          <w:szCs w:val="21"/>
        </w:rPr>
        <w:t>政策适用性说明</w:t>
      </w:r>
      <w:bookmarkEnd w:id="12"/>
      <w:bookmarkEnd w:id="13"/>
      <w:r>
        <w:rPr>
          <w:rFonts w:hint="eastAsia" w:ascii="宋体" w:hAnsi="宋体" w:cs="宋体"/>
          <w:b/>
          <w:szCs w:val="21"/>
        </w:rPr>
        <w:t>（以下格式文件由供应商根据需要选用）</w:t>
      </w:r>
    </w:p>
    <w:p w14:paraId="61B5CC39">
      <w:pPr>
        <w:spacing w:line="360" w:lineRule="auto"/>
        <w:ind w:firstLine="480"/>
        <w:rPr>
          <w:rFonts w:ascii="宋体" w:hAnsi="宋体" w:cs="宋体"/>
          <w:szCs w:val="21"/>
        </w:rPr>
      </w:pPr>
      <w:r>
        <w:rPr>
          <w:rFonts w:hint="eastAsia" w:ascii="宋体" w:hAnsi="宋体" w:cs="宋体"/>
          <w:szCs w:val="21"/>
        </w:rPr>
        <w:t>中小企业声明函（所投产品服务商为中小企业时提交本函，所属行业应符合采购文件中明确的本项目所属行业）</w:t>
      </w:r>
    </w:p>
    <w:p w14:paraId="10B4C3C6">
      <w:pPr>
        <w:spacing w:line="360" w:lineRule="auto"/>
        <w:jc w:val="center"/>
        <w:outlineLvl w:val="0"/>
        <w:rPr>
          <w:rFonts w:ascii="宋体" w:hAnsi="宋体" w:cs="宋体"/>
          <w:szCs w:val="21"/>
        </w:rPr>
      </w:pPr>
      <w:bookmarkStart w:id="14" w:name="_Toc29203"/>
      <w:bookmarkStart w:id="15" w:name="_Toc29722"/>
      <w:r>
        <w:rPr>
          <w:rFonts w:hint="eastAsia" w:ascii="宋体" w:hAnsi="宋体" w:cs="宋体"/>
          <w:b/>
          <w:szCs w:val="21"/>
        </w:rPr>
        <w:t>中小企业声明函（工程、服务）</w:t>
      </w:r>
      <w:bookmarkEnd w:id="14"/>
      <w:bookmarkEnd w:id="15"/>
    </w:p>
    <w:p w14:paraId="6E37DC79">
      <w:pPr>
        <w:spacing w:line="360" w:lineRule="auto"/>
        <w:ind w:firstLine="480"/>
        <w:rPr>
          <w:rFonts w:ascii="宋体" w:hAnsi="宋体" w:cs="宋体"/>
          <w:szCs w:val="21"/>
        </w:rPr>
      </w:pPr>
      <w:r>
        <w:rPr>
          <w:rFonts w:hint="eastAsia" w:ascii="宋体" w:hAnsi="宋体" w:cs="宋体"/>
          <w:szCs w:val="21"/>
        </w:rPr>
        <w:t>本公司（联合体）郑重声明，根据《政府采购促进中小企业发展管理办法》（财库﹝2020﹞46号）的规定，本公司（联合体）参加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采购活动，工程的施工单位全部为符合政策要求的中小企业（或者：服务全部由符合政策要求的中小企业承接）。相关企业（含联合体中的中小企业、签订分包意向协议的中小企业）的具体情况如下：</w:t>
      </w:r>
    </w:p>
    <w:p w14:paraId="22631B75">
      <w:pPr>
        <w:spacing w:line="360" w:lineRule="auto"/>
        <w:ind w:firstLine="480"/>
        <w:rPr>
          <w:rFonts w:ascii="宋体" w:hAnsi="宋体" w:cs="宋体"/>
          <w:szCs w:val="21"/>
        </w:rPr>
      </w:pPr>
      <w:r>
        <w:rPr>
          <w:rFonts w:hint="eastAsia" w:ascii="宋体" w:hAnsi="宋体" w:cs="宋体"/>
          <w:szCs w:val="21"/>
        </w:rPr>
        <w:t>1.</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&lt;XXX行业&gt;</w:t>
      </w:r>
      <w:r>
        <w:rPr>
          <w:rFonts w:hint="eastAsia" w:ascii="宋体" w:hAnsi="宋体" w:cs="宋体"/>
          <w:szCs w:val="21"/>
        </w:rPr>
        <w:t>；承建（承接）企业为</w:t>
      </w:r>
      <w:r>
        <w:rPr>
          <w:rFonts w:hint="eastAsia" w:ascii="宋体" w:hAnsi="宋体" w:cs="宋体"/>
          <w:szCs w:val="21"/>
          <w:u w:val="single"/>
        </w:rPr>
        <w:t>（企业名称）</w:t>
      </w:r>
      <w:r>
        <w:rPr>
          <w:rFonts w:hint="eastAsia" w:ascii="宋体" w:hAnsi="宋体" w:cs="宋体"/>
          <w:szCs w:val="21"/>
        </w:rPr>
        <w:t>，从业人员__________________人，营业收入为__________________万元，资产总额为__________________万元1，属于</w:t>
      </w:r>
      <w:r>
        <w:rPr>
          <w:rFonts w:hint="eastAsia" w:ascii="宋体" w:hAnsi="宋体" w:cs="宋体"/>
          <w:szCs w:val="21"/>
          <w:u w:val="single"/>
        </w:rPr>
        <w:t>（中型企业、小型企业、微型企业）</w:t>
      </w:r>
      <w:r>
        <w:rPr>
          <w:rFonts w:hint="eastAsia" w:ascii="宋体" w:hAnsi="宋体" w:cs="宋体"/>
          <w:szCs w:val="21"/>
        </w:rPr>
        <w:t>；</w:t>
      </w:r>
    </w:p>
    <w:p w14:paraId="40AAC4AD">
      <w:pPr>
        <w:spacing w:line="360" w:lineRule="auto"/>
        <w:ind w:firstLine="480"/>
        <w:rPr>
          <w:rFonts w:ascii="宋体" w:hAnsi="宋体" w:cs="宋体"/>
          <w:szCs w:val="21"/>
        </w:rPr>
      </w:pPr>
      <w:r>
        <w:rPr>
          <w:rFonts w:hint="eastAsia" w:ascii="宋体" w:hAnsi="宋体" w:cs="宋体"/>
          <w:szCs w:val="21"/>
        </w:rPr>
        <w:t>2.</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&lt;XXX行业&gt;</w:t>
      </w:r>
      <w:r>
        <w:rPr>
          <w:rFonts w:hint="eastAsia" w:ascii="宋体" w:hAnsi="宋体" w:cs="宋体"/>
          <w:szCs w:val="21"/>
        </w:rPr>
        <w:t>；承建（承接）企业为</w:t>
      </w:r>
      <w:r>
        <w:rPr>
          <w:rFonts w:hint="eastAsia" w:ascii="宋体" w:hAnsi="宋体" w:cs="宋体"/>
          <w:szCs w:val="21"/>
          <w:u w:val="single"/>
        </w:rPr>
        <w:t>（企业名称）</w:t>
      </w:r>
      <w:r>
        <w:rPr>
          <w:rFonts w:hint="eastAsia" w:ascii="宋体" w:hAnsi="宋体" w:cs="宋体"/>
          <w:szCs w:val="21"/>
        </w:rPr>
        <w:t>，从业人员__________________人，营业收入为__________________万元，资产总额为__________________万元1，属于</w:t>
      </w:r>
      <w:r>
        <w:rPr>
          <w:rFonts w:hint="eastAsia" w:ascii="宋体" w:hAnsi="宋体" w:cs="宋体"/>
          <w:szCs w:val="21"/>
          <w:u w:val="single"/>
        </w:rPr>
        <w:t>（中型企业、小型企业、微型企业）</w:t>
      </w:r>
      <w:r>
        <w:rPr>
          <w:rFonts w:hint="eastAsia" w:ascii="宋体" w:hAnsi="宋体" w:cs="宋体"/>
          <w:szCs w:val="21"/>
        </w:rPr>
        <w:t>；</w:t>
      </w:r>
    </w:p>
    <w:p w14:paraId="19BAB543">
      <w:pPr>
        <w:spacing w:line="360" w:lineRule="auto"/>
        <w:ind w:firstLine="480"/>
        <w:rPr>
          <w:rFonts w:ascii="宋体" w:hAnsi="宋体" w:cs="宋体"/>
          <w:szCs w:val="21"/>
        </w:rPr>
      </w:pPr>
      <w:r>
        <w:rPr>
          <w:rFonts w:hint="eastAsia" w:ascii="宋体" w:hAnsi="宋体" w:cs="宋体"/>
          <w:szCs w:val="21"/>
        </w:rPr>
        <w:t>……</w:t>
      </w:r>
    </w:p>
    <w:p w14:paraId="15E48C66">
      <w:pPr>
        <w:spacing w:line="360" w:lineRule="auto"/>
        <w:ind w:firstLine="480"/>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7299F068">
      <w:pPr>
        <w:spacing w:line="360" w:lineRule="auto"/>
        <w:ind w:firstLine="480"/>
        <w:rPr>
          <w:rFonts w:ascii="宋体" w:hAnsi="宋体" w:cs="宋体"/>
          <w:szCs w:val="21"/>
        </w:rPr>
      </w:pPr>
      <w:r>
        <w:rPr>
          <w:rFonts w:hint="eastAsia" w:ascii="宋体" w:hAnsi="宋体" w:cs="宋体"/>
          <w:szCs w:val="21"/>
        </w:rPr>
        <w:t>本企业对上述声明内容的真实性负责。如有虚假，将依法承担相应责任。</w:t>
      </w:r>
    </w:p>
    <w:p w14:paraId="4D8E940C">
      <w:pPr>
        <w:spacing w:line="360" w:lineRule="auto"/>
        <w:rPr>
          <w:rFonts w:ascii="宋体" w:hAnsi="宋体" w:cs="宋体"/>
          <w:szCs w:val="21"/>
        </w:rPr>
      </w:pPr>
    </w:p>
    <w:p w14:paraId="22805D02">
      <w:pPr>
        <w:spacing w:line="360" w:lineRule="auto"/>
        <w:rPr>
          <w:rFonts w:ascii="宋体" w:hAnsi="宋体" w:cs="宋体"/>
          <w:szCs w:val="21"/>
        </w:rPr>
      </w:pPr>
      <w:r>
        <w:rPr>
          <w:rFonts w:hint="eastAsia" w:ascii="宋体" w:hAnsi="宋体" w:cs="宋体"/>
          <w:szCs w:val="21"/>
        </w:rPr>
        <w:t>企业名称（盖章）：__________________</w:t>
      </w:r>
    </w:p>
    <w:p w14:paraId="5F20D502">
      <w:pPr>
        <w:spacing w:line="360" w:lineRule="auto"/>
        <w:rPr>
          <w:rFonts w:ascii="宋体" w:hAnsi="宋体" w:cs="宋体"/>
          <w:szCs w:val="21"/>
        </w:rPr>
      </w:pPr>
      <w:r>
        <w:rPr>
          <w:rFonts w:hint="eastAsia" w:ascii="宋体" w:hAnsi="宋体" w:cs="宋体"/>
          <w:szCs w:val="21"/>
        </w:rPr>
        <w:t>日期：  年  月  日</w:t>
      </w:r>
    </w:p>
    <w:p w14:paraId="25F76D04">
      <w:pPr>
        <w:spacing w:line="360" w:lineRule="auto"/>
        <w:ind w:firstLine="480"/>
        <w:rPr>
          <w:rFonts w:ascii="宋体" w:hAnsi="宋体" w:cs="宋体"/>
          <w:szCs w:val="21"/>
        </w:rPr>
      </w:pPr>
    </w:p>
    <w:p w14:paraId="16744137">
      <w:pPr>
        <w:spacing w:line="360" w:lineRule="auto"/>
        <w:ind w:firstLine="480"/>
        <w:rPr>
          <w:rFonts w:ascii="宋体" w:hAnsi="宋体" w:cs="宋体"/>
          <w:szCs w:val="21"/>
        </w:rPr>
      </w:pPr>
      <w:r>
        <w:rPr>
          <w:rFonts w:hint="eastAsia" w:ascii="宋体" w:hAnsi="宋体" w:cs="宋体"/>
          <w:szCs w:val="21"/>
        </w:rPr>
        <w:t>1：从业人员、营业收入、资产总额填报上一年度数据，无上一年度数据的新成立企业可不填报。</w:t>
      </w:r>
    </w:p>
    <w:p w14:paraId="7100CEBB">
      <w:pPr>
        <w:spacing w:line="360" w:lineRule="auto"/>
        <w:ind w:firstLine="480"/>
        <w:rPr>
          <w:rFonts w:ascii="宋体" w:hAnsi="宋体" w:cs="宋体"/>
          <w:szCs w:val="21"/>
        </w:rPr>
      </w:pPr>
      <w:r>
        <w:rPr>
          <w:rFonts w:hint="eastAsia" w:ascii="宋体" w:hAnsi="宋体" w:cs="宋体"/>
          <w:szCs w:val="21"/>
        </w:rPr>
        <w:t>2：投标人应当自行核实是否属于小微企业，并认真填写声明函，若有虚假将追究其责任。</w:t>
      </w:r>
    </w:p>
    <w:p w14:paraId="42A31F4E">
      <w:pPr>
        <w:pStyle w:val="18"/>
        <w:spacing w:line="360" w:lineRule="auto"/>
        <w:ind w:firstLine="210"/>
        <w:rPr>
          <w:rFonts w:ascii="宋体" w:hAnsi="宋体" w:cs="宋体"/>
          <w:sz w:val="21"/>
          <w:szCs w:val="21"/>
        </w:rPr>
      </w:pPr>
    </w:p>
    <w:p w14:paraId="0518854F">
      <w:pPr>
        <w:pStyle w:val="18"/>
        <w:spacing w:line="360" w:lineRule="auto"/>
        <w:ind w:firstLine="210"/>
        <w:rPr>
          <w:rFonts w:ascii="宋体" w:hAnsi="宋体" w:cs="宋体"/>
          <w:sz w:val="21"/>
          <w:szCs w:val="21"/>
        </w:rPr>
      </w:pPr>
      <w:r>
        <w:rPr>
          <w:rFonts w:hint="eastAsia" w:ascii="宋体" w:hAnsi="宋体" w:cs="宋体"/>
          <w:sz w:val="21"/>
          <w:szCs w:val="21"/>
        </w:rPr>
        <w:t>备注：中小企业标准详见《关于印发中小企业划型标准规定的通知》</w:t>
      </w:r>
    </w:p>
    <w:p w14:paraId="1788A59F">
      <w:pPr>
        <w:spacing w:line="360" w:lineRule="auto"/>
        <w:rPr>
          <w:rFonts w:ascii="宋体" w:hAnsi="宋体" w:cs="宋体"/>
          <w:bCs/>
          <w:szCs w:val="21"/>
        </w:rPr>
      </w:pPr>
      <w:r>
        <w:rPr>
          <w:rFonts w:hint="eastAsia" w:ascii="宋体" w:hAnsi="宋体" w:cs="宋体"/>
          <w:bCs/>
          <w:szCs w:val="21"/>
        </w:rPr>
        <w:br w:type="page"/>
      </w:r>
    </w:p>
    <w:p w14:paraId="18E19018">
      <w:pPr>
        <w:spacing w:line="360" w:lineRule="auto"/>
        <w:jc w:val="center"/>
        <w:rPr>
          <w:rFonts w:ascii="宋体" w:hAnsi="宋体" w:cs="宋体"/>
          <w:szCs w:val="21"/>
        </w:rPr>
      </w:pPr>
      <w:r>
        <w:rPr>
          <w:rFonts w:hint="eastAsia" w:ascii="宋体" w:hAnsi="宋体" w:cs="宋体"/>
          <w:b/>
          <w:szCs w:val="21"/>
        </w:rPr>
        <w:t>监狱企业</w:t>
      </w:r>
    </w:p>
    <w:p w14:paraId="34784C9A">
      <w:pPr>
        <w:spacing w:line="360" w:lineRule="auto"/>
        <w:ind w:firstLine="480"/>
        <w:rPr>
          <w:rFonts w:ascii="宋体" w:hAnsi="宋体" w:cs="宋体"/>
          <w:szCs w:val="21"/>
        </w:rPr>
      </w:pPr>
      <w:r>
        <w:rPr>
          <w:rFonts w:hint="eastAsia" w:ascii="宋体" w:hAnsi="宋体" w:cs="宋体"/>
          <w:szCs w:val="21"/>
        </w:rPr>
        <w:t>提供由监狱管理局、戒毒管理局（含新疆生产建设兵团）出具的属于监狱企业的证明文件。</w:t>
      </w:r>
    </w:p>
    <w:p w14:paraId="188D3C23">
      <w:pPr>
        <w:spacing w:line="360" w:lineRule="auto"/>
        <w:rPr>
          <w:rFonts w:ascii="宋体" w:hAnsi="宋体" w:cs="宋体"/>
          <w:bCs/>
          <w:szCs w:val="21"/>
          <w:u w:val="single"/>
        </w:rPr>
      </w:pPr>
    </w:p>
    <w:p w14:paraId="11BA93F3">
      <w:pPr>
        <w:spacing w:line="360" w:lineRule="auto"/>
        <w:ind w:firstLine="420" w:firstLineChars="200"/>
        <w:jc w:val="center"/>
        <w:rPr>
          <w:rFonts w:ascii="宋体" w:hAnsi="宋体" w:cs="宋体"/>
          <w:bCs/>
          <w:szCs w:val="21"/>
        </w:rPr>
      </w:pPr>
    </w:p>
    <w:p w14:paraId="63C69FE9">
      <w:pPr>
        <w:pStyle w:val="8"/>
        <w:spacing w:line="360" w:lineRule="auto"/>
        <w:ind w:left="840" w:hanging="420"/>
        <w:rPr>
          <w:rFonts w:ascii="宋体" w:hAnsi="宋体" w:cs="宋体"/>
          <w:szCs w:val="21"/>
        </w:rPr>
      </w:pPr>
    </w:p>
    <w:p w14:paraId="086E5B1D">
      <w:pPr>
        <w:spacing w:line="360" w:lineRule="auto"/>
        <w:jc w:val="center"/>
        <w:outlineLvl w:val="0"/>
        <w:rPr>
          <w:rFonts w:ascii="宋体" w:hAnsi="宋体" w:cs="宋体"/>
          <w:szCs w:val="21"/>
        </w:rPr>
      </w:pPr>
      <w:bookmarkStart w:id="16" w:name="_Toc4842"/>
      <w:bookmarkStart w:id="17" w:name="_Toc28139"/>
      <w:r>
        <w:rPr>
          <w:rFonts w:hint="eastAsia" w:ascii="宋体" w:hAnsi="宋体" w:cs="宋体"/>
          <w:b/>
          <w:szCs w:val="21"/>
        </w:rPr>
        <w:t>残疾人福利性单位声明函</w:t>
      </w:r>
      <w:bookmarkEnd w:id="16"/>
      <w:bookmarkEnd w:id="17"/>
    </w:p>
    <w:p w14:paraId="5E99A28B">
      <w:pPr>
        <w:spacing w:line="360" w:lineRule="auto"/>
        <w:ind w:firstLine="480"/>
        <w:rPr>
          <w:rFonts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E2BC32">
      <w:pPr>
        <w:spacing w:line="360" w:lineRule="auto"/>
        <w:ind w:firstLine="480"/>
        <w:rPr>
          <w:rFonts w:ascii="宋体" w:hAnsi="宋体" w:cs="宋体"/>
          <w:szCs w:val="21"/>
        </w:rPr>
      </w:pPr>
      <w:r>
        <w:rPr>
          <w:rFonts w:hint="eastAsia" w:ascii="宋体" w:hAnsi="宋体" w:cs="宋体"/>
          <w:szCs w:val="21"/>
        </w:rPr>
        <w:t>本单位对上述声明的真实性负责。如有虚假，将依法承担相应责任。</w:t>
      </w:r>
    </w:p>
    <w:p w14:paraId="5C7A35C0">
      <w:pPr>
        <w:spacing w:line="360" w:lineRule="auto"/>
        <w:rPr>
          <w:rFonts w:ascii="宋体" w:hAnsi="宋体" w:cs="宋体"/>
          <w:szCs w:val="21"/>
        </w:rPr>
      </w:pPr>
    </w:p>
    <w:p w14:paraId="3DE2C9E9">
      <w:pPr>
        <w:spacing w:line="360" w:lineRule="auto"/>
        <w:rPr>
          <w:rFonts w:ascii="宋体" w:hAnsi="宋体" w:cs="宋体"/>
          <w:szCs w:val="21"/>
        </w:rPr>
      </w:pPr>
      <w:r>
        <w:rPr>
          <w:rFonts w:hint="eastAsia" w:ascii="宋体" w:hAnsi="宋体" w:cs="宋体"/>
          <w:szCs w:val="21"/>
        </w:rPr>
        <w:t>单位名称（盖章）：__________________</w:t>
      </w:r>
    </w:p>
    <w:p w14:paraId="6FECEBB2">
      <w:pPr>
        <w:spacing w:line="360" w:lineRule="auto"/>
        <w:rPr>
          <w:rFonts w:ascii="宋体" w:hAnsi="宋体" w:cs="宋体"/>
          <w:szCs w:val="21"/>
        </w:rPr>
      </w:pPr>
      <w:r>
        <w:rPr>
          <w:rFonts w:hint="eastAsia" w:ascii="宋体" w:hAnsi="宋体" w:cs="宋体"/>
          <w:szCs w:val="21"/>
        </w:rPr>
        <w:t>日期： 年 月 日</w:t>
      </w:r>
    </w:p>
    <w:p w14:paraId="13291DC0">
      <w:pPr>
        <w:spacing w:line="360" w:lineRule="auto"/>
        <w:rPr>
          <w:rFonts w:ascii="宋体" w:hAnsi="宋体" w:cs="宋体"/>
          <w:szCs w:val="21"/>
        </w:rPr>
      </w:pPr>
      <w:r>
        <w:rPr>
          <w:rFonts w:hint="eastAsia" w:ascii="宋体" w:hAnsi="宋体" w:cs="宋体"/>
          <w:szCs w:val="21"/>
        </w:rPr>
        <w:t>注：本函未填写或未勾选视作未做声明。</w:t>
      </w:r>
    </w:p>
    <w:p w14:paraId="4B9DAE6B">
      <w:pPr>
        <w:rPr>
          <w:rFonts w:ascii="宋体" w:hAnsi="宋体" w:cs="宋体"/>
          <w:szCs w:val="21"/>
        </w:rPr>
      </w:pPr>
      <w:r>
        <w:rPr>
          <w:rFonts w:hint="eastAsia" w:ascii="宋体" w:hAnsi="宋体" w:cs="宋体"/>
          <w:szCs w:val="21"/>
        </w:rPr>
        <w:br w:type="page"/>
      </w:r>
    </w:p>
    <w:p w14:paraId="04F5B754">
      <w:pPr>
        <w:pStyle w:val="25"/>
        <w:jc w:val="center"/>
        <w:outlineLvl w:val="2"/>
        <w:rPr>
          <w:rFonts w:hint="default"/>
          <w:color w:val="0000FF"/>
          <w:sz w:val="21"/>
          <w:szCs w:val="21"/>
        </w:rPr>
      </w:pPr>
      <w:r>
        <w:rPr>
          <w:b/>
          <w:color w:val="0000FF"/>
          <w:sz w:val="21"/>
          <w:szCs w:val="21"/>
        </w:rPr>
        <w:t>关于符合本国产品标准的声明函等有关证明文件（如适用）</w:t>
      </w:r>
    </w:p>
    <w:p w14:paraId="17F6048D">
      <w:pPr>
        <w:pStyle w:val="25"/>
        <w:ind w:firstLine="480"/>
        <w:rPr>
          <w:rFonts w:hint="default"/>
          <w:color w:val="0000FF"/>
          <w:sz w:val="21"/>
          <w:szCs w:val="21"/>
        </w:rPr>
      </w:pPr>
      <w:r>
        <w:rPr>
          <w:b/>
          <w:color w:val="0000FF"/>
          <w:sz w:val="21"/>
          <w:szCs w:val="21"/>
        </w:rPr>
        <w:t>注：</w:t>
      </w:r>
    </w:p>
    <w:p w14:paraId="5474073D">
      <w:pPr>
        <w:pStyle w:val="25"/>
        <w:spacing w:before="120" w:after="120"/>
        <w:ind w:firstLine="960"/>
        <w:rPr>
          <w:rFonts w:hint="default"/>
          <w:color w:val="0000FF"/>
          <w:sz w:val="21"/>
          <w:szCs w:val="21"/>
        </w:rPr>
      </w:pPr>
      <w:r>
        <w:rPr>
          <w:color w:val="0000FF"/>
          <w:sz w:val="21"/>
          <w:szCs w:val="21"/>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08B52DCC">
      <w:pPr>
        <w:pStyle w:val="25"/>
        <w:spacing w:before="120" w:after="120"/>
        <w:ind w:firstLine="960"/>
        <w:rPr>
          <w:rFonts w:hint="default"/>
          <w:color w:val="0000FF"/>
          <w:sz w:val="21"/>
          <w:szCs w:val="21"/>
        </w:rPr>
      </w:pPr>
      <w:r>
        <w:rPr>
          <w:color w:val="0000FF"/>
          <w:sz w:val="21"/>
          <w:szCs w:val="21"/>
        </w:rPr>
        <w:t>2. 供应商提供虚假《声明函》、虚假证明文件谋取中标、成交的，依照政府采购法律法规规定追究相应责任。</w:t>
      </w:r>
    </w:p>
    <w:p w14:paraId="1D86E91D">
      <w:pPr>
        <w:pStyle w:val="25"/>
        <w:rPr>
          <w:rFonts w:hint="default"/>
          <w:color w:val="0000FF"/>
          <w:sz w:val="21"/>
          <w:szCs w:val="21"/>
        </w:rPr>
      </w:pPr>
      <w:r>
        <w:rPr>
          <w:b/>
          <w:color w:val="0000FF"/>
          <w:sz w:val="21"/>
          <w:szCs w:val="21"/>
        </w:rPr>
        <w:t>附件1</w:t>
      </w:r>
    </w:p>
    <w:p w14:paraId="2E9721D9">
      <w:pPr>
        <w:pStyle w:val="25"/>
        <w:spacing w:before="120" w:after="240"/>
        <w:jc w:val="center"/>
        <w:outlineLvl w:val="3"/>
        <w:rPr>
          <w:rFonts w:hint="default"/>
          <w:color w:val="0000FF"/>
          <w:sz w:val="21"/>
          <w:szCs w:val="21"/>
        </w:rPr>
      </w:pPr>
      <w:r>
        <w:rPr>
          <w:b/>
          <w:color w:val="0000FF"/>
          <w:sz w:val="21"/>
          <w:szCs w:val="21"/>
        </w:rPr>
        <w:t>中国境内生产的组件成本核算基本规则</w:t>
      </w:r>
    </w:p>
    <w:p w14:paraId="40610BDD">
      <w:pPr>
        <w:pStyle w:val="25"/>
        <w:ind w:firstLine="480"/>
        <w:rPr>
          <w:rFonts w:hint="default"/>
          <w:color w:val="0000FF"/>
          <w:sz w:val="21"/>
          <w:szCs w:val="21"/>
        </w:rPr>
      </w:pPr>
      <w:r>
        <w:rPr>
          <w:color w:val="0000FF"/>
          <w:sz w:val="21"/>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6874CEB">
      <w:pPr>
        <w:pStyle w:val="25"/>
        <w:spacing w:before="120" w:after="120"/>
        <w:ind w:firstLine="480"/>
        <w:rPr>
          <w:rFonts w:hint="default"/>
          <w:color w:val="0000FF"/>
          <w:sz w:val="21"/>
          <w:szCs w:val="21"/>
        </w:rPr>
      </w:pPr>
      <w:r>
        <w:rPr>
          <w:color w:val="0000FF"/>
          <w:sz w:val="21"/>
          <w:szCs w:val="21"/>
        </w:rPr>
        <w:t>1. 产品的一级组件是指直接组成产品的组件。产品的二级组件是指直接组成产品一级组件的组件。一级组件不可分解的，视同二级组件。</w:t>
      </w:r>
    </w:p>
    <w:p w14:paraId="45061B5F">
      <w:pPr>
        <w:pStyle w:val="25"/>
        <w:spacing w:before="120" w:after="120"/>
        <w:ind w:firstLine="480"/>
        <w:rPr>
          <w:rFonts w:hint="default"/>
          <w:color w:val="0000FF"/>
          <w:sz w:val="21"/>
          <w:szCs w:val="21"/>
        </w:rPr>
      </w:pPr>
      <w:r>
        <w:rPr>
          <w:color w:val="0000FF"/>
          <w:sz w:val="21"/>
          <w:szCs w:val="21"/>
        </w:rPr>
        <w:t>2. 二级组件在中国境内生产的，其全部成本计入中国境内生产的组件成本；二级组件不在中国境内生产的，其成本不计入中国境内生产的组件成本。</w:t>
      </w:r>
    </w:p>
    <w:p w14:paraId="1A45854E">
      <w:pPr>
        <w:pStyle w:val="25"/>
        <w:spacing w:before="120" w:after="120"/>
        <w:ind w:firstLine="480"/>
        <w:rPr>
          <w:rFonts w:hint="default"/>
          <w:color w:val="0000FF"/>
          <w:sz w:val="21"/>
          <w:szCs w:val="21"/>
        </w:rPr>
      </w:pPr>
      <w:r>
        <w:rPr>
          <w:color w:val="0000FF"/>
          <w:sz w:val="21"/>
          <w:szCs w:val="21"/>
        </w:rPr>
        <w:t>3. 产品总成本和组件成本以相关会计核算数据、采购合同、进货记录等为基础进行计算。</w:t>
      </w:r>
    </w:p>
    <w:p w14:paraId="765709BA">
      <w:pPr>
        <w:pStyle w:val="25"/>
        <w:spacing w:before="120" w:after="120"/>
        <w:ind w:firstLine="480"/>
        <w:rPr>
          <w:rFonts w:hint="default"/>
          <w:color w:val="0000FF"/>
          <w:sz w:val="21"/>
          <w:szCs w:val="21"/>
        </w:rPr>
      </w:pPr>
      <w:r>
        <w:rPr>
          <w:color w:val="0000FF"/>
          <w:sz w:val="21"/>
          <w:szCs w:val="21"/>
        </w:rPr>
        <w:t>4. 需要对成本核算规则予以进一步明确的其他有关事项，由财政部会同有关部门另行规定。</w:t>
      </w:r>
    </w:p>
    <w:p w14:paraId="417969F0">
      <w:pPr>
        <w:pStyle w:val="25"/>
        <w:rPr>
          <w:rFonts w:hint="default"/>
          <w:color w:val="0000FF"/>
          <w:sz w:val="21"/>
          <w:szCs w:val="21"/>
        </w:rPr>
      </w:pPr>
      <w:r>
        <w:rPr>
          <w:b/>
          <w:color w:val="0000FF"/>
          <w:sz w:val="21"/>
          <w:szCs w:val="21"/>
        </w:rPr>
        <w:t>附件2</w:t>
      </w:r>
    </w:p>
    <w:p w14:paraId="458D8126">
      <w:pPr>
        <w:pStyle w:val="25"/>
        <w:spacing w:before="120" w:after="240"/>
        <w:jc w:val="center"/>
        <w:outlineLvl w:val="3"/>
        <w:rPr>
          <w:rFonts w:hint="default"/>
          <w:color w:val="0000FF"/>
          <w:sz w:val="21"/>
          <w:szCs w:val="21"/>
        </w:rPr>
      </w:pPr>
      <w:r>
        <w:rPr>
          <w:b/>
          <w:color w:val="0000FF"/>
          <w:sz w:val="21"/>
          <w:szCs w:val="21"/>
        </w:rPr>
        <w:t>关于符合本国产品标准的声明函</w:t>
      </w:r>
    </w:p>
    <w:p w14:paraId="7B063225">
      <w:pPr>
        <w:pStyle w:val="25"/>
        <w:ind w:firstLine="480"/>
        <w:rPr>
          <w:rFonts w:hint="default"/>
          <w:color w:val="0000FF"/>
          <w:sz w:val="21"/>
          <w:szCs w:val="21"/>
        </w:rPr>
      </w:pPr>
      <w:r>
        <w:rPr>
          <w:color w:val="0000FF"/>
          <w:sz w:val="21"/>
          <w:szCs w:val="21"/>
        </w:rPr>
        <w:t>本公司（单位）郑重声明，根据《国务院办公厅关于在政府采购中实施本国产品标准及相关政策的通知》（国办发〔2025〕34号）的规定，本公司（单位）提供的以下产品属于本国产品。具体情况如下：</w:t>
      </w:r>
    </w:p>
    <w:p w14:paraId="1CCEC483">
      <w:pPr>
        <w:pStyle w:val="25"/>
        <w:spacing w:before="240" w:after="240"/>
        <w:ind w:firstLine="960"/>
        <w:rPr>
          <w:rFonts w:hint="default"/>
          <w:color w:val="0000FF"/>
          <w:sz w:val="21"/>
          <w:szCs w:val="21"/>
        </w:rPr>
      </w:pPr>
      <w:r>
        <w:rPr>
          <w:color w:val="0000FF"/>
          <w:sz w:val="21"/>
          <w:szCs w:val="21"/>
        </w:rPr>
        <w:t xml:space="preserve"> 1. </w:t>
      </w:r>
      <w:r>
        <w:rPr>
          <w:color w:val="0000FF"/>
          <w:sz w:val="21"/>
          <w:szCs w:val="21"/>
          <w:u w:val="single"/>
        </w:rPr>
        <w:t>（产品名称1）</w:t>
      </w:r>
      <w:r>
        <w:rPr>
          <w:color w:val="0000FF"/>
          <w:sz w:val="21"/>
          <w:szCs w:val="21"/>
        </w:rPr>
        <w:t>，生产厂为</w:t>
      </w:r>
      <w:r>
        <w:rPr>
          <w:color w:val="0000FF"/>
          <w:sz w:val="21"/>
          <w:szCs w:val="21"/>
          <w:u w:val="single"/>
        </w:rPr>
        <w:t>（厂名）</w:t>
      </w:r>
      <w:r>
        <w:rPr>
          <w:color w:val="0000FF"/>
          <w:sz w:val="21"/>
          <w:szCs w:val="21"/>
        </w:rPr>
        <w:t>，厂址为</w:t>
      </w:r>
      <w:r>
        <w:rPr>
          <w:color w:val="0000FF"/>
          <w:sz w:val="21"/>
          <w:szCs w:val="21"/>
          <w:u w:val="single"/>
        </w:rPr>
        <w:t>（生产厂址）</w:t>
      </w:r>
      <w:r>
        <w:rPr>
          <w:color w:val="0000FF"/>
          <w:sz w:val="21"/>
          <w:szCs w:val="21"/>
        </w:rPr>
        <w:t xml:space="preserve">。 </w:t>
      </w:r>
      <w:r>
        <w:rPr>
          <w:color w:val="0000FF"/>
          <w:sz w:val="21"/>
          <w:szCs w:val="21"/>
          <w:u w:val="single"/>
        </w:rPr>
        <w:t>（产品名称1）</w:t>
      </w:r>
      <w:r>
        <w:rPr>
          <w:color w:val="0000FF"/>
          <w:sz w:val="21"/>
          <w:szCs w:val="21"/>
        </w:rPr>
        <w:t>的中国境内生产的组件成本占比≥</w:t>
      </w:r>
      <w:r>
        <w:rPr>
          <w:color w:val="0000FF"/>
          <w:sz w:val="21"/>
          <w:szCs w:val="21"/>
          <w:u w:val="single"/>
        </w:rPr>
        <w:t>（规定比例）</w:t>
      </w:r>
      <w:r>
        <w:rPr>
          <w:color w:val="0000FF"/>
          <w:sz w:val="21"/>
          <w:szCs w:val="21"/>
        </w:rPr>
        <w:t xml:space="preserve">。 </w:t>
      </w:r>
      <w:r>
        <w:rPr>
          <w:color w:val="0000FF"/>
          <w:sz w:val="21"/>
          <w:szCs w:val="21"/>
          <w:u w:val="single"/>
        </w:rPr>
        <w:t>（产品名称1）</w:t>
      </w:r>
      <w:r>
        <w:rPr>
          <w:color w:val="0000FF"/>
          <w:sz w:val="21"/>
          <w:szCs w:val="21"/>
        </w:rPr>
        <w:t>的</w:t>
      </w:r>
      <w:r>
        <w:rPr>
          <w:color w:val="0000FF"/>
          <w:sz w:val="21"/>
          <w:szCs w:val="21"/>
          <w:u w:val="single"/>
        </w:rPr>
        <w:t>（关键组件）</w:t>
      </w:r>
      <w:r>
        <w:rPr>
          <w:color w:val="0000FF"/>
          <w:sz w:val="21"/>
          <w:szCs w:val="21"/>
        </w:rPr>
        <w:t xml:space="preserve">在中国境内生产。 </w:t>
      </w:r>
      <w:r>
        <w:rPr>
          <w:color w:val="0000FF"/>
          <w:sz w:val="21"/>
          <w:szCs w:val="21"/>
          <w:u w:val="single"/>
        </w:rPr>
        <w:t>（产品名称1）</w:t>
      </w:r>
      <w:r>
        <w:rPr>
          <w:color w:val="0000FF"/>
          <w:sz w:val="21"/>
          <w:szCs w:val="21"/>
        </w:rPr>
        <w:t>的</w:t>
      </w:r>
      <w:r>
        <w:rPr>
          <w:color w:val="0000FF"/>
          <w:sz w:val="21"/>
          <w:szCs w:val="21"/>
          <w:u w:val="single"/>
        </w:rPr>
        <w:t>（关键工序）</w:t>
      </w:r>
      <w:r>
        <w:rPr>
          <w:color w:val="0000FF"/>
          <w:sz w:val="21"/>
          <w:szCs w:val="21"/>
        </w:rPr>
        <w:t>在中国境内完成。</w:t>
      </w:r>
    </w:p>
    <w:p w14:paraId="5C5DF645">
      <w:pPr>
        <w:pStyle w:val="25"/>
        <w:spacing w:before="240" w:after="240"/>
        <w:ind w:firstLine="960"/>
        <w:rPr>
          <w:rFonts w:hint="default"/>
          <w:color w:val="0000FF"/>
          <w:sz w:val="21"/>
          <w:szCs w:val="21"/>
        </w:rPr>
      </w:pPr>
      <w:r>
        <w:rPr>
          <w:color w:val="0000FF"/>
          <w:sz w:val="21"/>
          <w:szCs w:val="21"/>
        </w:rPr>
        <w:t xml:space="preserve"> 2. </w:t>
      </w:r>
      <w:r>
        <w:rPr>
          <w:color w:val="0000FF"/>
          <w:sz w:val="21"/>
          <w:szCs w:val="21"/>
          <w:u w:val="single"/>
        </w:rPr>
        <w:t>（产品名称2）</w:t>
      </w:r>
      <w:r>
        <w:rPr>
          <w:color w:val="0000FF"/>
          <w:sz w:val="21"/>
          <w:szCs w:val="21"/>
        </w:rPr>
        <w:t>，生产厂为</w:t>
      </w:r>
      <w:r>
        <w:rPr>
          <w:color w:val="0000FF"/>
          <w:sz w:val="21"/>
          <w:szCs w:val="21"/>
          <w:u w:val="single"/>
        </w:rPr>
        <w:t>（厂名）</w:t>
      </w:r>
      <w:r>
        <w:rPr>
          <w:color w:val="0000FF"/>
          <w:sz w:val="21"/>
          <w:szCs w:val="21"/>
        </w:rPr>
        <w:t>，厂址为</w:t>
      </w:r>
      <w:r>
        <w:rPr>
          <w:color w:val="0000FF"/>
          <w:sz w:val="21"/>
          <w:szCs w:val="21"/>
          <w:u w:val="single"/>
        </w:rPr>
        <w:t>（生产厂址）</w:t>
      </w:r>
      <w:r>
        <w:rPr>
          <w:color w:val="0000FF"/>
          <w:sz w:val="21"/>
          <w:szCs w:val="21"/>
        </w:rPr>
        <w:t xml:space="preserve">。 </w:t>
      </w:r>
      <w:r>
        <w:rPr>
          <w:color w:val="0000FF"/>
          <w:sz w:val="21"/>
          <w:szCs w:val="21"/>
          <w:u w:val="single"/>
        </w:rPr>
        <w:t>（产品名称2）</w:t>
      </w:r>
      <w:r>
        <w:rPr>
          <w:color w:val="0000FF"/>
          <w:sz w:val="21"/>
          <w:szCs w:val="21"/>
        </w:rPr>
        <w:t>的中国境内生产的组件成本占比≥</w:t>
      </w:r>
      <w:r>
        <w:rPr>
          <w:color w:val="0000FF"/>
          <w:sz w:val="21"/>
          <w:szCs w:val="21"/>
          <w:u w:val="single"/>
        </w:rPr>
        <w:t>（规定比例）</w:t>
      </w:r>
      <w:r>
        <w:rPr>
          <w:color w:val="0000FF"/>
          <w:sz w:val="21"/>
          <w:szCs w:val="21"/>
        </w:rPr>
        <w:t xml:space="preserve">。 </w:t>
      </w:r>
      <w:r>
        <w:rPr>
          <w:color w:val="0000FF"/>
          <w:sz w:val="21"/>
          <w:szCs w:val="21"/>
          <w:u w:val="single"/>
        </w:rPr>
        <w:t>（产品名称2）</w:t>
      </w:r>
      <w:r>
        <w:rPr>
          <w:color w:val="0000FF"/>
          <w:sz w:val="21"/>
          <w:szCs w:val="21"/>
        </w:rPr>
        <w:t>的</w:t>
      </w:r>
      <w:r>
        <w:rPr>
          <w:color w:val="0000FF"/>
          <w:sz w:val="21"/>
          <w:szCs w:val="21"/>
          <w:u w:val="single"/>
        </w:rPr>
        <w:t>（关键组件）</w:t>
      </w:r>
      <w:r>
        <w:rPr>
          <w:color w:val="0000FF"/>
          <w:sz w:val="21"/>
          <w:szCs w:val="21"/>
        </w:rPr>
        <w:t xml:space="preserve">在中国境内生产。 </w:t>
      </w:r>
      <w:r>
        <w:rPr>
          <w:color w:val="0000FF"/>
          <w:sz w:val="21"/>
          <w:szCs w:val="21"/>
          <w:u w:val="single"/>
        </w:rPr>
        <w:t>（产品名称2）</w:t>
      </w:r>
      <w:r>
        <w:rPr>
          <w:color w:val="0000FF"/>
          <w:sz w:val="21"/>
          <w:szCs w:val="21"/>
        </w:rPr>
        <w:t>的</w:t>
      </w:r>
      <w:r>
        <w:rPr>
          <w:color w:val="0000FF"/>
          <w:sz w:val="21"/>
          <w:szCs w:val="21"/>
          <w:u w:val="single"/>
        </w:rPr>
        <w:t>（关键工序）</w:t>
      </w:r>
      <w:r>
        <w:rPr>
          <w:color w:val="0000FF"/>
          <w:sz w:val="21"/>
          <w:szCs w:val="21"/>
        </w:rPr>
        <w:t>在中国境内完成。</w:t>
      </w:r>
    </w:p>
    <w:p w14:paraId="1CD8B005">
      <w:pPr>
        <w:pStyle w:val="25"/>
        <w:spacing w:before="240" w:after="240"/>
        <w:ind w:firstLine="960"/>
        <w:rPr>
          <w:rFonts w:hint="default"/>
          <w:color w:val="0000FF"/>
          <w:sz w:val="21"/>
          <w:szCs w:val="21"/>
        </w:rPr>
      </w:pPr>
      <w:r>
        <w:rPr>
          <w:color w:val="0000FF"/>
          <w:sz w:val="21"/>
          <w:szCs w:val="21"/>
        </w:rPr>
        <w:t>3. ……</w:t>
      </w:r>
    </w:p>
    <w:p w14:paraId="07B77B41">
      <w:pPr>
        <w:pStyle w:val="25"/>
        <w:ind w:firstLine="480"/>
        <w:rPr>
          <w:rFonts w:hint="default"/>
          <w:color w:val="0000FF"/>
          <w:sz w:val="21"/>
          <w:szCs w:val="21"/>
        </w:rPr>
      </w:pPr>
      <w:r>
        <w:rPr>
          <w:color w:val="0000FF"/>
          <w:sz w:val="21"/>
          <w:szCs w:val="21"/>
        </w:rPr>
        <w:t>本公司（单位）对上述声明内容的真实性负责。如有虚假，愿承担相应法律责任。</w:t>
      </w:r>
    </w:p>
    <w:p w14:paraId="33981C4B">
      <w:pPr>
        <w:pStyle w:val="25"/>
        <w:spacing w:before="720"/>
        <w:jc w:val="right"/>
        <w:rPr>
          <w:rFonts w:hint="default"/>
          <w:color w:val="0000FF"/>
          <w:sz w:val="21"/>
          <w:szCs w:val="21"/>
        </w:rPr>
      </w:pPr>
      <w:r>
        <w:rPr>
          <w:b/>
          <w:color w:val="0000FF"/>
          <w:sz w:val="21"/>
          <w:szCs w:val="21"/>
        </w:rPr>
        <w:t>公司（单位）名称（盖章）：</w:t>
      </w:r>
      <w:r>
        <w:rPr>
          <w:color w:val="0000FF"/>
          <w:sz w:val="21"/>
          <w:szCs w:val="21"/>
        </w:rPr>
        <w:t xml:space="preserve"> __________________</w:t>
      </w:r>
    </w:p>
    <w:p w14:paraId="77B40384">
      <w:pPr>
        <w:pStyle w:val="25"/>
        <w:jc w:val="right"/>
        <w:rPr>
          <w:rFonts w:hint="default"/>
          <w:color w:val="0000FF"/>
          <w:sz w:val="21"/>
          <w:szCs w:val="21"/>
        </w:rPr>
      </w:pPr>
      <w:r>
        <w:rPr>
          <w:b/>
          <w:color w:val="0000FF"/>
          <w:sz w:val="21"/>
          <w:szCs w:val="21"/>
        </w:rPr>
        <w:t>日期：</w:t>
      </w:r>
      <w:r>
        <w:rPr>
          <w:color w:val="0000FF"/>
          <w:sz w:val="21"/>
          <w:szCs w:val="21"/>
        </w:rPr>
        <w:t xml:space="preserve"> ______ 年 ______ 月 ______ 日</w:t>
      </w:r>
    </w:p>
    <w:p w14:paraId="20283879">
      <w:pPr>
        <w:pStyle w:val="25"/>
        <w:ind w:firstLine="480"/>
        <w:rPr>
          <w:rFonts w:hint="default"/>
          <w:color w:val="0000FF"/>
          <w:sz w:val="21"/>
          <w:szCs w:val="21"/>
        </w:rPr>
      </w:pPr>
      <w:r>
        <w:rPr>
          <w:b/>
          <w:color w:val="0000FF"/>
          <w:sz w:val="21"/>
          <w:szCs w:val="21"/>
        </w:rPr>
        <w:t>注：</w:t>
      </w:r>
    </w:p>
    <w:p w14:paraId="2773C1D4">
      <w:pPr>
        <w:pStyle w:val="25"/>
        <w:spacing w:before="120" w:after="120"/>
        <w:ind w:firstLine="960"/>
        <w:rPr>
          <w:rFonts w:hint="default"/>
          <w:color w:val="0000FF"/>
          <w:sz w:val="21"/>
          <w:szCs w:val="21"/>
        </w:rPr>
      </w:pPr>
      <w:r>
        <w:rPr>
          <w:color w:val="0000FF"/>
          <w:sz w:val="21"/>
          <w:szCs w:val="21"/>
        </w:rPr>
        <w:t>1. 产品如有型号，请在“产品名称”栏一并填写。</w:t>
      </w:r>
    </w:p>
    <w:p w14:paraId="776675B5">
      <w:pPr>
        <w:pStyle w:val="25"/>
        <w:spacing w:before="120" w:after="120"/>
        <w:ind w:firstLine="960"/>
        <w:rPr>
          <w:rFonts w:hint="default"/>
          <w:color w:val="0000FF"/>
          <w:sz w:val="21"/>
          <w:szCs w:val="21"/>
        </w:rPr>
      </w:pPr>
      <w:r>
        <w:rPr>
          <w:color w:val="0000FF"/>
          <w:sz w:val="21"/>
          <w:szCs w:val="21"/>
        </w:rPr>
        <w:t>2. 生产厂名与厂址应与生产厂营业执照载明的相关信息保持一致。</w:t>
      </w:r>
    </w:p>
    <w:p w14:paraId="506A58D8">
      <w:pPr>
        <w:pStyle w:val="25"/>
        <w:spacing w:before="120" w:after="120"/>
        <w:ind w:firstLine="960"/>
        <w:rPr>
          <w:rFonts w:hint="default"/>
          <w:color w:val="0000FF"/>
          <w:sz w:val="21"/>
          <w:szCs w:val="21"/>
        </w:rPr>
      </w:pPr>
      <w:r>
        <w:rPr>
          <w:color w:val="0000FF"/>
          <w:sz w:val="21"/>
          <w:szCs w:val="21"/>
        </w:rPr>
        <w:t>3. 该产品的中国境内生产的组件成本占比相关要求实施前，"规定比例"栏可不填，下同。</w:t>
      </w:r>
    </w:p>
    <w:p w14:paraId="1640419D">
      <w:pPr>
        <w:pStyle w:val="25"/>
        <w:spacing w:before="120" w:after="120"/>
        <w:ind w:firstLine="960"/>
        <w:rPr>
          <w:rFonts w:hint="default"/>
          <w:color w:val="0000FF"/>
          <w:sz w:val="21"/>
          <w:szCs w:val="21"/>
        </w:rPr>
      </w:pPr>
      <w:r>
        <w:rPr>
          <w:color w:val="0000FF"/>
          <w:sz w:val="21"/>
          <w:szCs w:val="21"/>
        </w:rPr>
        <w:t>4. 该产品的关键组件要求实施前，"关键组件"栏可不填，下同。</w:t>
      </w:r>
    </w:p>
    <w:p w14:paraId="68853901">
      <w:pPr>
        <w:pStyle w:val="25"/>
        <w:spacing w:before="120" w:after="120"/>
        <w:ind w:firstLine="960"/>
        <w:rPr>
          <w:rFonts w:hint="default"/>
          <w:color w:val="0000FF"/>
          <w:sz w:val="21"/>
          <w:szCs w:val="21"/>
        </w:rPr>
      </w:pPr>
      <w:r>
        <w:rPr>
          <w:color w:val="0000FF"/>
          <w:sz w:val="21"/>
          <w:szCs w:val="21"/>
        </w:rPr>
        <w:t>5. 该产品的关键工序要求实施前，"关键工序"栏可不填，下同。</w:t>
      </w:r>
    </w:p>
    <w:p w14:paraId="3B7082EB">
      <w:pPr>
        <w:pStyle w:val="25"/>
        <w:rPr>
          <w:rFonts w:hint="default"/>
          <w:color w:val="0000FF"/>
          <w:sz w:val="21"/>
          <w:szCs w:val="21"/>
        </w:rPr>
      </w:pPr>
      <w:r>
        <w:rPr>
          <w:b/>
          <w:color w:val="0000FF"/>
          <w:sz w:val="21"/>
          <w:szCs w:val="21"/>
        </w:rPr>
        <w:t>附件3（当采购项目或者采购包中含有多种产品的，供应商还应当提供本承诺函，格式内容仅供参考）</w:t>
      </w:r>
    </w:p>
    <w:p w14:paraId="52858081">
      <w:pPr>
        <w:pStyle w:val="25"/>
        <w:spacing w:before="120" w:after="240"/>
        <w:jc w:val="center"/>
        <w:outlineLvl w:val="3"/>
        <w:rPr>
          <w:rFonts w:hint="default"/>
          <w:color w:val="0000FF"/>
          <w:sz w:val="21"/>
          <w:szCs w:val="21"/>
        </w:rPr>
      </w:pPr>
      <w:r>
        <w:rPr>
          <w:b/>
          <w:color w:val="0000FF"/>
          <w:sz w:val="21"/>
          <w:szCs w:val="21"/>
        </w:rPr>
        <w:t>关于本国产品比例的承诺函（如适用）</w:t>
      </w:r>
    </w:p>
    <w:p w14:paraId="24314E86">
      <w:pPr>
        <w:pStyle w:val="25"/>
        <w:rPr>
          <w:rFonts w:hint="default"/>
          <w:color w:val="0000FF"/>
          <w:sz w:val="21"/>
          <w:szCs w:val="21"/>
        </w:rPr>
      </w:pPr>
      <w:r>
        <w:rPr>
          <w:color w:val="0000FF"/>
          <w:sz w:val="21"/>
          <w:szCs w:val="21"/>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7E5DBA56">
      <w:pPr>
        <w:pStyle w:val="25"/>
        <w:rPr>
          <w:rFonts w:hint="default"/>
          <w:color w:val="0000FF"/>
          <w:sz w:val="21"/>
          <w:szCs w:val="21"/>
        </w:rPr>
      </w:pPr>
      <w:r>
        <w:rPr>
          <w:color w:val="0000FF"/>
          <w:sz w:val="21"/>
          <w:szCs w:val="21"/>
        </w:rPr>
        <w:t>本公司（单位）对上述承诺内容的真实性负责。如有虚假，愿承担相应法律责任。</w:t>
      </w:r>
    </w:p>
    <w:p w14:paraId="6A1CF5EA">
      <w:pPr>
        <w:pStyle w:val="25"/>
        <w:spacing w:before="720"/>
        <w:jc w:val="right"/>
        <w:rPr>
          <w:rFonts w:hint="default"/>
          <w:color w:val="0000FF"/>
          <w:sz w:val="21"/>
          <w:szCs w:val="21"/>
        </w:rPr>
      </w:pPr>
      <w:r>
        <w:rPr>
          <w:b/>
          <w:color w:val="0000FF"/>
          <w:sz w:val="21"/>
          <w:szCs w:val="21"/>
        </w:rPr>
        <w:t>公司（单位）名称（盖章）：</w:t>
      </w:r>
      <w:r>
        <w:rPr>
          <w:color w:val="0000FF"/>
          <w:sz w:val="21"/>
          <w:szCs w:val="21"/>
        </w:rPr>
        <w:t>__________________</w:t>
      </w:r>
    </w:p>
    <w:p w14:paraId="728B5925">
      <w:pPr>
        <w:pStyle w:val="25"/>
        <w:jc w:val="right"/>
        <w:rPr>
          <w:rFonts w:hint="default"/>
          <w:color w:val="0000FF"/>
          <w:sz w:val="21"/>
          <w:szCs w:val="21"/>
        </w:rPr>
      </w:pPr>
      <w:r>
        <w:rPr>
          <w:b/>
          <w:color w:val="0000FF"/>
          <w:sz w:val="21"/>
          <w:szCs w:val="21"/>
        </w:rPr>
        <w:t>日期：</w:t>
      </w:r>
      <w:r>
        <w:rPr>
          <w:color w:val="0000FF"/>
          <w:sz w:val="21"/>
          <w:szCs w:val="21"/>
        </w:rPr>
        <w:t>______ 年 ______ 月 ______ 日</w:t>
      </w:r>
    </w:p>
    <w:p w14:paraId="10F01A7A">
      <w:pPr>
        <w:pStyle w:val="25"/>
        <w:rPr>
          <w:rFonts w:hint="default"/>
          <w:color w:val="0000FF"/>
          <w:sz w:val="21"/>
          <w:szCs w:val="21"/>
        </w:rPr>
      </w:pPr>
      <w:r>
        <w:rPr>
          <w:b/>
          <w:color w:val="0000FF"/>
          <w:sz w:val="21"/>
          <w:szCs w:val="21"/>
        </w:rPr>
        <w:t>附件4</w:t>
      </w:r>
    </w:p>
    <w:p w14:paraId="457201A4">
      <w:pPr>
        <w:pStyle w:val="25"/>
        <w:spacing w:before="120" w:after="240"/>
        <w:jc w:val="center"/>
        <w:outlineLvl w:val="3"/>
        <w:rPr>
          <w:rFonts w:hint="default"/>
          <w:color w:val="0000FF"/>
          <w:sz w:val="21"/>
          <w:szCs w:val="21"/>
        </w:rPr>
      </w:pPr>
      <w:r>
        <w:rPr>
          <w:b/>
          <w:color w:val="0000FF"/>
          <w:sz w:val="21"/>
          <w:szCs w:val="21"/>
        </w:rPr>
        <w:t>本国产品标准有关证明材料（如适用）</w:t>
      </w:r>
    </w:p>
    <w:p w14:paraId="2D1A5E19">
      <w:pPr>
        <w:pStyle w:val="25"/>
        <w:spacing w:before="120" w:after="120"/>
        <w:ind w:firstLine="960"/>
        <w:rPr>
          <w:rFonts w:hint="default"/>
          <w:color w:val="0000FF"/>
          <w:sz w:val="21"/>
          <w:szCs w:val="21"/>
        </w:rPr>
      </w:pPr>
      <w:r>
        <w:rPr>
          <w:color w:val="0000FF"/>
          <w:sz w:val="21"/>
          <w:szCs w:val="21"/>
        </w:rPr>
        <w:t>1. 供应商认为需提供的其他资料。</w:t>
      </w:r>
    </w:p>
    <w:p w14:paraId="496DF184">
      <w:pPr>
        <w:pStyle w:val="25"/>
        <w:spacing w:before="120" w:after="120"/>
        <w:ind w:firstLine="960"/>
        <w:rPr>
          <w:rFonts w:hint="default"/>
          <w:color w:val="0000FF"/>
        </w:rPr>
      </w:pPr>
      <w:r>
        <w:rPr>
          <w:color w:val="0000FF"/>
        </w:rPr>
        <w:t>2. 财政部会同有关部门规定的有关证明文件。</w:t>
      </w:r>
    </w:p>
    <w:p w14:paraId="4A826F8C">
      <w:pPr>
        <w:spacing w:line="360" w:lineRule="auto"/>
        <w:rPr>
          <w:rFonts w:ascii="宋体" w:hAnsi="宋体" w:cs="宋体"/>
          <w:szCs w:val="21"/>
        </w:rPr>
      </w:pPr>
    </w:p>
    <w:p w14:paraId="5BF4E838">
      <w:pPr>
        <w:spacing w:line="360" w:lineRule="auto"/>
        <w:rPr>
          <w:rFonts w:ascii="宋体" w:hAnsi="宋体" w:cs="宋体"/>
          <w:szCs w:val="21"/>
        </w:rPr>
      </w:pPr>
    </w:p>
    <w:p w14:paraId="10E111BE">
      <w:pPr>
        <w:spacing w:line="360" w:lineRule="auto"/>
        <w:rPr>
          <w:rFonts w:ascii="宋体" w:hAnsi="宋体" w:cs="宋体"/>
          <w:szCs w:val="21"/>
        </w:rPr>
      </w:pPr>
    </w:p>
    <w:p w14:paraId="5A8D2DD5">
      <w:pPr>
        <w:spacing w:line="360" w:lineRule="auto"/>
        <w:rPr>
          <w:rFonts w:ascii="Times New Roman" w:hAnsi="Times New Roman"/>
          <w:szCs w:val="21"/>
        </w:rPr>
      </w:pPr>
    </w:p>
    <w:p w14:paraId="738ADBC8">
      <w:pPr>
        <w:spacing w:line="360" w:lineRule="auto"/>
        <w:rPr>
          <w:szCs w:val="21"/>
        </w:rPr>
      </w:pPr>
    </w:p>
    <w:p w14:paraId="5FB0CC55">
      <w:pPr>
        <w:spacing w:line="360" w:lineRule="auto"/>
        <w:rPr>
          <w:szCs w:val="21"/>
        </w:rPr>
      </w:pPr>
    </w:p>
    <w:p w14:paraId="2A347FDA"/>
    <w:p w14:paraId="72312A7A"/>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ACC86">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6F935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56F935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DC030">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C8171D">
                          <w:pPr>
                            <w:pStyle w:val="11"/>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14:paraId="41C8171D">
                    <w:pPr>
                      <w:pStyle w:val="11"/>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6C0CE"/>
    <w:multiLevelType w:val="singleLevel"/>
    <w:tmpl w:val="85F6C0CE"/>
    <w:lvl w:ilvl="0" w:tentative="0">
      <w:start w:val="2"/>
      <w:numFmt w:val="decimal"/>
      <w:suff w:val="nothing"/>
      <w:lvlText w:val="%1、"/>
      <w:lvlJc w:val="left"/>
    </w:lvl>
  </w:abstractNum>
  <w:abstractNum w:abstractNumId="1">
    <w:nsid w:val="8FCB6E3D"/>
    <w:multiLevelType w:val="singleLevel"/>
    <w:tmpl w:val="8FCB6E3D"/>
    <w:lvl w:ilvl="0" w:tentative="0">
      <w:start w:val="1"/>
      <w:numFmt w:val="chineseCounting"/>
      <w:suff w:val="space"/>
      <w:lvlText w:val="第%1条"/>
      <w:lvlJc w:val="left"/>
      <w:rPr>
        <w:rFonts w:hint="eastAsia"/>
        <w:b/>
        <w:bCs/>
      </w:rPr>
    </w:lvl>
  </w:abstractNum>
  <w:abstractNum w:abstractNumId="2">
    <w:nsid w:val="B8CA30D6"/>
    <w:multiLevelType w:val="singleLevel"/>
    <w:tmpl w:val="B8CA30D6"/>
    <w:lvl w:ilvl="0" w:tentative="0">
      <w:start w:val="2"/>
      <w:numFmt w:val="chineseCounting"/>
      <w:suff w:val="nothing"/>
      <w:lvlText w:val="%1、"/>
      <w:lvlJc w:val="left"/>
      <w:rPr>
        <w:rFonts w:hint="eastAsia"/>
      </w:rPr>
    </w:lvl>
  </w:abstractNum>
  <w:abstractNum w:abstractNumId="3">
    <w:nsid w:val="BE958B28"/>
    <w:multiLevelType w:val="singleLevel"/>
    <w:tmpl w:val="BE958B28"/>
    <w:lvl w:ilvl="0" w:tentative="0">
      <w:start w:val="1"/>
      <w:numFmt w:val="chineseCounting"/>
      <w:suff w:val="nothing"/>
      <w:lvlText w:val="%1、"/>
      <w:lvlJc w:val="left"/>
      <w:pPr>
        <w:ind w:left="0" w:firstLine="420"/>
      </w:pPr>
      <w:rPr>
        <w:rFonts w:hint="eastAsia"/>
      </w:rPr>
    </w:lvl>
  </w:abstractNum>
  <w:abstractNum w:abstractNumId="4">
    <w:nsid w:val="CB546595"/>
    <w:multiLevelType w:val="singleLevel"/>
    <w:tmpl w:val="CB546595"/>
    <w:lvl w:ilvl="0" w:tentative="0">
      <w:start w:val="1"/>
      <w:numFmt w:val="decimal"/>
      <w:lvlText w:val="%1."/>
      <w:lvlJc w:val="left"/>
      <w:pPr>
        <w:ind w:left="425" w:hanging="425"/>
      </w:pPr>
      <w:rPr>
        <w:rFonts w:hint="default"/>
      </w:rPr>
    </w:lvl>
  </w:abstractNum>
  <w:abstractNum w:abstractNumId="5">
    <w:nsid w:val="F0FF3AD2"/>
    <w:multiLevelType w:val="singleLevel"/>
    <w:tmpl w:val="F0FF3AD2"/>
    <w:lvl w:ilvl="0" w:tentative="0">
      <w:start w:val="1"/>
      <w:numFmt w:val="chineseCounting"/>
      <w:suff w:val="nothing"/>
      <w:lvlText w:val="（%1）"/>
      <w:lvlJc w:val="left"/>
      <w:pPr>
        <w:ind w:left="0" w:firstLine="420"/>
      </w:pPr>
      <w:rPr>
        <w:rFonts w:hint="eastAsia"/>
      </w:rPr>
    </w:lvl>
  </w:abstractNum>
  <w:abstractNum w:abstractNumId="6">
    <w:nsid w:val="F34BAAA7"/>
    <w:multiLevelType w:val="singleLevel"/>
    <w:tmpl w:val="F34BAAA7"/>
    <w:lvl w:ilvl="0" w:tentative="0">
      <w:start w:val="1"/>
      <w:numFmt w:val="decimal"/>
      <w:suff w:val="nothing"/>
      <w:lvlText w:val="%1．"/>
      <w:lvlJc w:val="left"/>
      <w:pPr>
        <w:ind w:left="0" w:firstLine="400"/>
      </w:pPr>
      <w:rPr>
        <w:rFonts w:hint="default"/>
      </w:rPr>
    </w:lvl>
  </w:abstractNum>
  <w:abstractNum w:abstractNumId="7">
    <w:nsid w:val="F4B1165E"/>
    <w:multiLevelType w:val="singleLevel"/>
    <w:tmpl w:val="F4B1165E"/>
    <w:lvl w:ilvl="0" w:tentative="0">
      <w:start w:val="1"/>
      <w:numFmt w:val="chineseCounting"/>
      <w:suff w:val="nothing"/>
      <w:lvlText w:val="（%1）"/>
      <w:lvlJc w:val="left"/>
      <w:pPr>
        <w:ind w:left="0" w:firstLine="420"/>
      </w:pPr>
      <w:rPr>
        <w:rFonts w:hint="eastAsia"/>
        <w:b w:val="0"/>
        <w:bCs w:val="0"/>
      </w:rPr>
    </w:lvl>
  </w:abstractNum>
  <w:abstractNum w:abstractNumId="8">
    <w:nsid w:val="2280FC5D"/>
    <w:multiLevelType w:val="singleLevel"/>
    <w:tmpl w:val="2280FC5D"/>
    <w:lvl w:ilvl="0" w:tentative="0">
      <w:start w:val="1"/>
      <w:numFmt w:val="chineseCounting"/>
      <w:suff w:val="nothing"/>
      <w:lvlText w:val="（%1）"/>
      <w:lvlJc w:val="left"/>
      <w:pPr>
        <w:ind w:left="0" w:firstLine="420"/>
      </w:pPr>
      <w:rPr>
        <w:rFonts w:hint="eastAsia"/>
      </w:rPr>
    </w:lvl>
  </w:abstractNum>
  <w:abstractNum w:abstractNumId="9">
    <w:nsid w:val="22A18C31"/>
    <w:multiLevelType w:val="singleLevel"/>
    <w:tmpl w:val="22A18C31"/>
    <w:lvl w:ilvl="0" w:tentative="0">
      <w:start w:val="1"/>
      <w:numFmt w:val="chineseCounting"/>
      <w:suff w:val="nothing"/>
      <w:lvlText w:val="（%1）"/>
      <w:lvlJc w:val="left"/>
      <w:pPr>
        <w:ind w:left="0" w:firstLine="420"/>
      </w:pPr>
      <w:rPr>
        <w:rFonts w:hint="eastAsia"/>
      </w:rPr>
    </w:lvl>
  </w:abstractNum>
  <w:abstractNum w:abstractNumId="10">
    <w:nsid w:val="2FA02D58"/>
    <w:multiLevelType w:val="singleLevel"/>
    <w:tmpl w:val="2FA02D58"/>
    <w:lvl w:ilvl="0" w:tentative="0">
      <w:start w:val="1"/>
      <w:numFmt w:val="chineseCounting"/>
      <w:suff w:val="nothing"/>
      <w:lvlText w:val="（%1）"/>
      <w:lvlJc w:val="left"/>
      <w:pPr>
        <w:ind w:left="0" w:firstLine="420"/>
      </w:pPr>
      <w:rPr>
        <w:rFonts w:hint="eastAsia"/>
      </w:rPr>
    </w:lvl>
  </w:abstractNum>
  <w:abstractNum w:abstractNumId="11">
    <w:nsid w:val="48465DD7"/>
    <w:multiLevelType w:val="singleLevel"/>
    <w:tmpl w:val="48465DD7"/>
    <w:lvl w:ilvl="0" w:tentative="0">
      <w:start w:val="1"/>
      <w:numFmt w:val="chineseCounting"/>
      <w:suff w:val="nothing"/>
      <w:lvlText w:val="（%1）"/>
      <w:lvlJc w:val="left"/>
      <w:pPr>
        <w:ind w:left="0" w:firstLine="420"/>
      </w:pPr>
      <w:rPr>
        <w:rFonts w:hint="eastAsia"/>
      </w:rPr>
    </w:lvl>
  </w:abstractNum>
  <w:abstractNum w:abstractNumId="12">
    <w:nsid w:val="605922D7"/>
    <w:multiLevelType w:val="singleLevel"/>
    <w:tmpl w:val="605922D7"/>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11"/>
  </w:num>
  <w:num w:numId="5">
    <w:abstractNumId w:val="5"/>
  </w:num>
  <w:num w:numId="6">
    <w:abstractNumId w:val="6"/>
  </w:num>
  <w:num w:numId="7">
    <w:abstractNumId w:val="10"/>
  </w:num>
  <w:num w:numId="8">
    <w:abstractNumId w:val="9"/>
  </w:num>
  <w:num w:numId="9">
    <w:abstractNumId w:val="7"/>
  </w:num>
  <w:num w:numId="10">
    <w:abstractNumId w:val="8"/>
  </w:num>
  <w:num w:numId="11">
    <w:abstractNumId w:val="1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YWM0ODRhNzhiMTcyNzQ2ZTNlZjRiMmZkODE1MTkifQ=="/>
  </w:docVars>
  <w:rsids>
    <w:rsidRoot w:val="006D3843"/>
    <w:rsid w:val="006D3843"/>
    <w:rsid w:val="00D13956"/>
    <w:rsid w:val="00DA3F1D"/>
    <w:rsid w:val="01445566"/>
    <w:rsid w:val="04D10758"/>
    <w:rsid w:val="04E5321D"/>
    <w:rsid w:val="05D130DD"/>
    <w:rsid w:val="060E1734"/>
    <w:rsid w:val="06FA7309"/>
    <w:rsid w:val="0A7E766E"/>
    <w:rsid w:val="0B4F53B8"/>
    <w:rsid w:val="0EBA1E61"/>
    <w:rsid w:val="0F4B5D38"/>
    <w:rsid w:val="111778DA"/>
    <w:rsid w:val="11182864"/>
    <w:rsid w:val="175F4AF3"/>
    <w:rsid w:val="18E83154"/>
    <w:rsid w:val="1D277EC6"/>
    <w:rsid w:val="1D3C21CC"/>
    <w:rsid w:val="1F9A2532"/>
    <w:rsid w:val="20DF171E"/>
    <w:rsid w:val="21D4251F"/>
    <w:rsid w:val="249F2CD8"/>
    <w:rsid w:val="26D46B1D"/>
    <w:rsid w:val="2940227C"/>
    <w:rsid w:val="2B7A0A26"/>
    <w:rsid w:val="2BF34ABF"/>
    <w:rsid w:val="2D473B22"/>
    <w:rsid w:val="31A2655C"/>
    <w:rsid w:val="32106157"/>
    <w:rsid w:val="32AE3174"/>
    <w:rsid w:val="3844692D"/>
    <w:rsid w:val="39F84DD0"/>
    <w:rsid w:val="3DB03A43"/>
    <w:rsid w:val="3EE871B2"/>
    <w:rsid w:val="3FD6525C"/>
    <w:rsid w:val="40A321D6"/>
    <w:rsid w:val="425B550C"/>
    <w:rsid w:val="471A1ED2"/>
    <w:rsid w:val="486211CC"/>
    <w:rsid w:val="4A6B6E54"/>
    <w:rsid w:val="4B1264A7"/>
    <w:rsid w:val="4D4579EF"/>
    <w:rsid w:val="4D582F7E"/>
    <w:rsid w:val="52100CD7"/>
    <w:rsid w:val="54123F8A"/>
    <w:rsid w:val="57C7431A"/>
    <w:rsid w:val="5E653AFA"/>
    <w:rsid w:val="60676878"/>
    <w:rsid w:val="61725B0A"/>
    <w:rsid w:val="637F0DE3"/>
    <w:rsid w:val="65670581"/>
    <w:rsid w:val="698867BD"/>
    <w:rsid w:val="69B228D6"/>
    <w:rsid w:val="6AEF1D60"/>
    <w:rsid w:val="6CFB0696"/>
    <w:rsid w:val="73C82329"/>
    <w:rsid w:val="74DA5387"/>
    <w:rsid w:val="757E506B"/>
    <w:rsid w:val="759D1846"/>
    <w:rsid w:val="77520067"/>
    <w:rsid w:val="77D53CE3"/>
    <w:rsid w:val="77F90400"/>
    <w:rsid w:val="79E64C04"/>
    <w:rsid w:val="7A0C4DA3"/>
    <w:rsid w:val="7B9658F4"/>
    <w:rsid w:val="7E685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adjustRightInd w:val="0"/>
      <w:snapToGrid w:val="0"/>
      <w:spacing w:line="360" w:lineRule="auto"/>
      <w:ind w:firstLine="200" w:firstLineChars="200"/>
      <w:outlineLvl w:val="1"/>
    </w:pPr>
    <w:rPr>
      <w:rFonts w:ascii="宋体" w:hAnsi="宋体" w:cs="宋体"/>
      <w:b/>
      <w:bCs/>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after="120"/>
      <w:jc w:val="left"/>
    </w:pPr>
    <w:rPr>
      <w:kern w:val="0"/>
      <w:szCs w:val="20"/>
    </w:rPr>
  </w:style>
  <w:style w:type="paragraph" w:styleId="4">
    <w:name w:val="Normal Indent"/>
    <w:qFormat/>
    <w:uiPriority w:val="0"/>
    <w:pPr>
      <w:widowControl w:val="0"/>
      <w:ind w:firstLine="420"/>
      <w:jc w:val="both"/>
    </w:pPr>
    <w:rPr>
      <w:rFonts w:ascii="仿宋_GB2312" w:hAnsi="Calibri" w:eastAsia="宋体" w:cs="Times New Roman"/>
      <w:b/>
      <w:kern w:val="2"/>
      <w:sz w:val="21"/>
      <w:szCs w:val="32"/>
      <w:lang w:val="en-US" w:eastAsia="zh-CN" w:bidi="ar-SA"/>
    </w:rPr>
  </w:style>
  <w:style w:type="paragraph" w:styleId="5">
    <w:name w:val="annotation text"/>
    <w:basedOn w:val="1"/>
    <w:link w:val="37"/>
    <w:qFormat/>
    <w:uiPriority w:val="0"/>
    <w:pPr>
      <w:jc w:val="left"/>
    </w:pPr>
  </w:style>
  <w:style w:type="paragraph" w:styleId="6">
    <w:name w:val="Body Text 3"/>
    <w:qFormat/>
    <w:uiPriority w:val="0"/>
    <w:pPr>
      <w:widowControl w:val="0"/>
      <w:spacing w:after="120"/>
      <w:jc w:val="both"/>
    </w:pPr>
    <w:rPr>
      <w:rFonts w:ascii="Calibri" w:hAnsi="Calibri" w:eastAsia="宋体" w:cs="Times New Roman"/>
      <w:kern w:val="2"/>
      <w:sz w:val="16"/>
      <w:szCs w:val="16"/>
      <w:lang w:val="en-US" w:eastAsia="zh-CN" w:bidi="ar-SA"/>
    </w:rPr>
  </w:style>
  <w:style w:type="paragraph" w:styleId="7">
    <w:name w:val="Body Text Indent"/>
    <w:basedOn w:val="1"/>
    <w:qFormat/>
    <w:uiPriority w:val="0"/>
    <w:pPr>
      <w:ind w:firstLine="830" w:firstLineChars="352"/>
    </w:pPr>
    <w:rPr>
      <w:kern w:val="0"/>
      <w:sz w:val="20"/>
      <w:szCs w:val="20"/>
    </w:rPr>
  </w:style>
  <w:style w:type="paragraph" w:styleId="8">
    <w:name w:val="List 2"/>
    <w:qFormat/>
    <w:uiPriority w:val="0"/>
    <w:pPr>
      <w:widowControl w:val="0"/>
      <w:ind w:left="100" w:leftChars="200" w:hanging="200" w:hangingChars="200"/>
      <w:jc w:val="both"/>
    </w:pPr>
    <w:rPr>
      <w:rFonts w:ascii="Times New Roman" w:hAnsi="Times New Roman" w:eastAsia="宋体" w:cs="Times New Roman"/>
      <w:kern w:val="2"/>
      <w:sz w:val="21"/>
      <w:szCs w:val="24"/>
      <w:lang w:val="en-US" w:eastAsia="zh-CN" w:bidi="ar-SA"/>
    </w:rPr>
  </w:style>
  <w:style w:type="paragraph" w:styleId="9">
    <w:name w:val="Plain Text"/>
    <w:basedOn w:val="1"/>
    <w:next w:val="1"/>
    <w:qFormat/>
    <w:uiPriority w:val="0"/>
    <w:rPr>
      <w:rFonts w:ascii="宋体" w:hAnsi="Courier New" w:cs="Courier New"/>
      <w:b/>
      <w:szCs w:val="21"/>
    </w:rPr>
  </w:style>
  <w:style w:type="paragraph" w:styleId="10">
    <w:name w:val="Balloon Text"/>
    <w:basedOn w:val="1"/>
    <w:link w:val="36"/>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toc 1"/>
    <w:basedOn w:val="1"/>
    <w:next w:val="1"/>
    <w:unhideWhenUsed/>
    <w:qFormat/>
    <w:uiPriority w:val="39"/>
  </w:style>
  <w:style w:type="paragraph" w:styleId="13">
    <w:name w:val="index heading"/>
    <w:next w:val="14"/>
    <w:qFormat/>
    <w:uiPriority w:val="0"/>
    <w:pPr>
      <w:widowControl w:val="0"/>
      <w:jc w:val="both"/>
    </w:pPr>
    <w:rPr>
      <w:rFonts w:ascii="Calibri" w:hAnsi="Calibri" w:eastAsia="宋体" w:cs="Times New Roman"/>
      <w:kern w:val="2"/>
      <w:sz w:val="21"/>
      <w:lang w:val="en-US" w:eastAsia="zh-CN" w:bidi="ar-SA"/>
    </w:rPr>
  </w:style>
  <w:style w:type="paragraph" w:styleId="14">
    <w:name w:val="index 1"/>
    <w:next w:val="1"/>
    <w:qFormat/>
    <w:uiPriority w:val="0"/>
    <w:pPr>
      <w:widowControl w:val="0"/>
      <w:jc w:val="both"/>
    </w:pPr>
    <w:rPr>
      <w:rFonts w:ascii="Calibri" w:hAnsi="Calibri" w:eastAsia="宋体" w:cs="Times New Roman"/>
      <w:kern w:val="2"/>
      <w:sz w:val="21"/>
      <w:szCs w:val="24"/>
      <w:lang w:val="en-US" w:eastAsia="zh-CN" w:bidi="ar-SA"/>
    </w:rPr>
  </w:style>
  <w:style w:type="paragraph" w:styleId="15">
    <w:name w:val="toc 2"/>
    <w:basedOn w:val="1"/>
    <w:next w:val="1"/>
    <w:unhideWhenUsed/>
    <w:qFormat/>
    <w:uiPriority w:val="39"/>
    <w:pPr>
      <w:ind w:left="420" w:leftChars="200"/>
    </w:pPr>
    <w:rPr>
      <w:rFonts w:eastAsia="仿宋"/>
      <w:sz w:val="24"/>
      <w:szCs w:val="22"/>
    </w:rPr>
  </w:style>
  <w:style w:type="paragraph" w:styleId="16">
    <w:name w:val="Normal (Web)"/>
    <w:basedOn w:val="1"/>
    <w:qFormat/>
    <w:uiPriority w:val="0"/>
    <w:rPr>
      <w:sz w:val="24"/>
    </w:rPr>
  </w:style>
  <w:style w:type="paragraph" w:styleId="17">
    <w:name w:val="annotation subject"/>
    <w:basedOn w:val="5"/>
    <w:next w:val="5"/>
    <w:link w:val="38"/>
    <w:qFormat/>
    <w:uiPriority w:val="0"/>
    <w:rPr>
      <w:b/>
      <w:bCs/>
    </w:rPr>
  </w:style>
  <w:style w:type="paragraph" w:styleId="18">
    <w:name w:val="Body Text First Indent"/>
    <w:basedOn w:val="2"/>
    <w:qFormat/>
    <w:uiPriority w:val="0"/>
    <w:pPr>
      <w:ind w:firstLine="420" w:firstLineChars="100"/>
    </w:pPr>
    <w:rPr>
      <w:sz w:val="22"/>
      <w:szCs w:val="22"/>
    </w:rPr>
  </w:style>
  <w:style w:type="paragraph" w:styleId="19">
    <w:name w:val="Body Text First Indent 2"/>
    <w:basedOn w:val="7"/>
    <w:qFormat/>
    <w:uiPriority w:val="0"/>
    <w:pPr>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annotation reference"/>
    <w:basedOn w:val="22"/>
    <w:qFormat/>
    <w:uiPriority w:val="0"/>
    <w:rPr>
      <w:sz w:val="21"/>
      <w:szCs w:val="21"/>
    </w:rPr>
  </w:style>
  <w:style w:type="paragraph" w:customStyle="1" w:styleId="25">
    <w:name w:val="null3"/>
    <w:qFormat/>
    <w:uiPriority w:val="0"/>
    <w:rPr>
      <w:rFonts w:hint="eastAsia" w:ascii="Calibri" w:hAnsi="Calibri" w:eastAsia="宋体" w:cs="Times New Roman"/>
      <w:lang w:val="en-US" w:eastAsia="zh-Hans" w:bidi="ar-SA"/>
    </w:rPr>
  </w:style>
  <w:style w:type="paragraph" w:customStyle="1" w:styleId="26">
    <w:name w:val="表格文字"/>
    <w:basedOn w:val="7"/>
    <w:qFormat/>
    <w:uiPriority w:val="0"/>
    <w:pPr>
      <w:spacing w:before="25" w:after="25"/>
      <w:jc w:val="left"/>
    </w:pPr>
    <w:rPr>
      <w:rFonts w:ascii="仿宋_GB2312"/>
      <w:b/>
      <w:bCs/>
      <w:spacing w:val="10"/>
      <w:kern w:val="2"/>
      <w:sz w:val="24"/>
      <w:szCs w:val="32"/>
    </w:rPr>
  </w:style>
  <w:style w:type="paragraph" w:customStyle="1" w:styleId="27">
    <w:name w:val="图"/>
    <w:qFormat/>
    <w:uiPriority w:val="0"/>
    <w:pPr>
      <w:keepNext/>
      <w:widowControl w:val="0"/>
      <w:adjustRightInd w:val="0"/>
      <w:spacing w:before="60" w:after="60" w:line="300" w:lineRule="auto"/>
      <w:jc w:val="center"/>
      <w:textAlignment w:val="center"/>
    </w:pPr>
    <w:rPr>
      <w:rFonts w:ascii="Calibri" w:hAnsi="Calibri" w:eastAsia="宋体" w:cs="Times New Roman"/>
      <w:snapToGrid w:val="0"/>
      <w:spacing w:val="20"/>
      <w:sz w:val="24"/>
      <w:lang w:val="en-US" w:eastAsia="zh-CN" w:bidi="ar-SA"/>
    </w:rPr>
  </w:style>
  <w:style w:type="paragraph" w:customStyle="1" w:styleId="28">
    <w:name w:val="首行缩进"/>
    <w:qFormat/>
    <w:uiPriority w:val="0"/>
    <w:pPr>
      <w:widowControl w:val="0"/>
      <w:ind w:firstLine="480" w:firstLineChars="200"/>
      <w:jc w:val="both"/>
    </w:pPr>
    <w:rPr>
      <w:rFonts w:ascii="Times New Roman" w:hAnsi="Times New Roman" w:eastAsia="宋体" w:cs="Times New Roman"/>
      <w:kern w:val="2"/>
      <w:sz w:val="21"/>
      <w:szCs w:val="24"/>
      <w:lang w:val="zh-CN" w:eastAsia="zh-CN" w:bidi="ar-SA"/>
    </w:rPr>
  </w:style>
  <w:style w:type="paragraph" w:customStyle="1" w:styleId="29">
    <w:name w:val="xl25"/>
    <w:qFormat/>
    <w:uiPriority w:val="0"/>
    <w:pPr>
      <w:pBdr>
        <w:bottom w:val="single" w:color="auto" w:sz="4" w:space="0"/>
        <w:right w:val="single" w:color="auto" w:sz="4" w:space="0"/>
      </w:pBdr>
      <w:spacing w:before="100" w:beforeAutospacing="1" w:after="100" w:afterAutospacing="1"/>
      <w:jc w:val="center"/>
    </w:pPr>
    <w:rPr>
      <w:rFonts w:ascii="宋体" w:hAnsi="宋体" w:eastAsia="宋体" w:cs="Times New Roman"/>
      <w:sz w:val="21"/>
      <w:szCs w:val="21"/>
      <w:lang w:val="en-US" w:eastAsia="zh-CN" w:bidi="ar-SA"/>
    </w:rPr>
  </w:style>
  <w:style w:type="character" w:customStyle="1" w:styleId="30">
    <w:name w:val="NormalCharacter"/>
    <w:semiHidden/>
    <w:qFormat/>
    <w:uiPriority w:val="0"/>
  </w:style>
  <w:style w:type="paragraph" w:customStyle="1" w:styleId="31">
    <w:name w:val="UserStyle_34"/>
    <w:qFormat/>
    <w:uiPriority w:val="0"/>
    <w:pPr>
      <w:jc w:val="both"/>
      <w:textAlignment w:val="baseline"/>
    </w:pPr>
    <w:rPr>
      <w:rFonts w:ascii="Arial Unicode MS" w:hAnsi="Arial Unicode MS" w:eastAsia="Arial Unicode MS" w:cstheme="minorBidi"/>
      <w:color w:val="000000"/>
      <w:kern w:val="2"/>
      <w:sz w:val="21"/>
      <w:szCs w:val="21"/>
      <w:lang w:val="en-US" w:eastAsia="zh-CN" w:bidi="ar-SA"/>
    </w:rPr>
  </w:style>
  <w:style w:type="paragraph" w:customStyle="1" w:styleId="32">
    <w:name w:val="正文 首行缩进"/>
    <w:basedOn w:val="1"/>
    <w:qFormat/>
    <w:uiPriority w:val="0"/>
    <w:pPr>
      <w:autoSpaceDE w:val="0"/>
      <w:autoSpaceDN w:val="0"/>
      <w:adjustRightInd w:val="0"/>
      <w:spacing w:line="360" w:lineRule="auto"/>
      <w:ind w:firstLine="437"/>
      <w:jc w:val="left"/>
    </w:pPr>
    <w:rPr>
      <w:rFonts w:hint="eastAsia" w:ascii="宋体" w:hAnsi="宋体"/>
      <w:snapToGrid w:val="0"/>
      <w:kern w:val="0"/>
      <w:sz w:val="24"/>
      <w:szCs w:val="21"/>
    </w:rPr>
  </w:style>
  <w:style w:type="paragraph" w:customStyle="1" w:styleId="33">
    <w:name w:val="AnnotationText"/>
    <w:basedOn w:val="1"/>
    <w:qFormat/>
    <w:uiPriority w:val="0"/>
    <w:pPr>
      <w:jc w:val="left"/>
    </w:pPr>
  </w:style>
  <w:style w:type="character" w:customStyle="1" w:styleId="34">
    <w:name w:val="AnnotationReference"/>
    <w:qFormat/>
    <w:uiPriority w:val="0"/>
    <w:rPr>
      <w:sz w:val="21"/>
      <w:szCs w:val="21"/>
    </w:rPr>
  </w:style>
  <w:style w:type="paragraph" w:customStyle="1" w:styleId="35">
    <w:name w:val="BodyText3"/>
    <w:basedOn w:val="1"/>
    <w:qFormat/>
    <w:uiPriority w:val="0"/>
    <w:pPr>
      <w:spacing w:after="120"/>
    </w:pPr>
    <w:rPr>
      <w:sz w:val="16"/>
      <w:szCs w:val="16"/>
    </w:rPr>
  </w:style>
  <w:style w:type="character" w:customStyle="1" w:styleId="36">
    <w:name w:val="批注框文本 字符"/>
    <w:basedOn w:val="22"/>
    <w:link w:val="10"/>
    <w:qFormat/>
    <w:uiPriority w:val="0"/>
    <w:rPr>
      <w:rFonts w:ascii="Calibri" w:hAnsi="Calibri"/>
      <w:kern w:val="2"/>
      <w:sz w:val="18"/>
      <w:szCs w:val="18"/>
    </w:rPr>
  </w:style>
  <w:style w:type="character" w:customStyle="1" w:styleId="37">
    <w:name w:val="批注文字 字符"/>
    <w:basedOn w:val="22"/>
    <w:link w:val="5"/>
    <w:qFormat/>
    <w:uiPriority w:val="0"/>
    <w:rPr>
      <w:rFonts w:ascii="Calibri" w:hAnsi="Calibri"/>
      <w:kern w:val="2"/>
      <w:sz w:val="21"/>
      <w:szCs w:val="24"/>
    </w:rPr>
  </w:style>
  <w:style w:type="character" w:customStyle="1" w:styleId="38">
    <w:name w:val="批注主题 字符"/>
    <w:basedOn w:val="37"/>
    <w:link w:val="17"/>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86</Pages>
  <Words>48025</Words>
  <Characters>50774</Characters>
  <Lines>383</Lines>
  <Paragraphs>107</Paragraphs>
  <TotalTime>66</TotalTime>
  <ScaleCrop>false</ScaleCrop>
  <LinksUpToDate>false</LinksUpToDate>
  <CharactersWithSpaces>52560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2025-07-29T08:59:00Z</dcterms:created>
  <dc:creator>Administrator.FY-202506050949.000</dc:creator>
  <cp:lastModifiedBy>c1</cp:lastModifiedBy>
  <cp:lastPrinted>2026-03-24T08:06:00Z</cp:lastPrinted>
  <dcterms:modified xsi:type="dcterms:W3CDTF">2026-03-24T09:33:01Z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eyJoZGlkIjoiNDRjYjdlZmZkZmNhMTQyOWFkZDg1YWUzNDdjNTA5NWYiLCJ1c2VySWQiOiIyMjc4MjExMDMifQ==</vt:lpwstr>
  </property>
  <property fmtid="{D5CDD505-2E9C-101B-9397-08002B2CF9AE}" pid="4" name="ICV">
    <vt:lpwstr>6CF36E8029D84341A4A885D143658834_13</vt:lpwstr>
  </property>
</Properties>
</file>