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2F180">
      <w:pPr>
        <w:tabs>
          <w:tab w:val="left" w:pos="420"/>
          <w:tab w:val="left" w:pos="6660"/>
          <w:tab w:val="left" w:pos="7770"/>
          <w:tab w:val="left" w:pos="8610"/>
        </w:tabs>
        <w:spacing w:line="1600" w:lineRule="atLeast"/>
        <w:rPr>
          <w:rFonts w:hint="eastAsia" w:ascii="宋体" w:hAnsi="宋体" w:cs="宋体"/>
          <w:b/>
          <w:bCs/>
          <w:sz w:val="84"/>
          <w:szCs w:val="84"/>
        </w:rPr>
      </w:pPr>
      <w:bookmarkStart w:id="0" w:name="_Toc261442067"/>
    </w:p>
    <w:p w14:paraId="292C6096">
      <w:pPr>
        <w:tabs>
          <w:tab w:val="left" w:pos="420"/>
          <w:tab w:val="left" w:pos="6660"/>
        </w:tabs>
        <w:spacing w:line="720" w:lineRule="auto"/>
        <w:jc w:val="center"/>
        <w:rPr>
          <w:rFonts w:hint="default" w:ascii="宋体" w:hAnsi="宋体" w:cs="宋体"/>
          <w:b/>
          <w:bCs/>
          <w:sz w:val="48"/>
          <w:szCs w:val="48"/>
          <w:lang w:val="en-US"/>
        </w:rPr>
      </w:pPr>
      <w:r>
        <w:rPr>
          <w:rFonts w:hint="eastAsia" w:ascii="宋体" w:hAnsi="宋体" w:eastAsia="宋体" w:cs="宋体"/>
          <w:b/>
          <w:bCs/>
          <w:sz w:val="52"/>
          <w:szCs w:val="52"/>
          <w:lang w:val="en-US" w:eastAsia="zh-CN"/>
        </w:rPr>
        <w:t>智慧</w:t>
      </w:r>
      <w:r>
        <w:rPr>
          <w:rFonts w:hint="eastAsia" w:ascii="宋体" w:hAnsi="宋体" w:cs="宋体"/>
          <w:b/>
          <w:bCs/>
          <w:sz w:val="52"/>
          <w:szCs w:val="52"/>
          <w:lang w:val="en-US" w:eastAsia="zh-CN"/>
        </w:rPr>
        <w:t>课程</w:t>
      </w:r>
      <w:r>
        <w:rPr>
          <w:rFonts w:hint="eastAsia" w:ascii="宋体" w:hAnsi="宋体" w:eastAsia="宋体" w:cs="宋体"/>
          <w:b/>
          <w:bCs/>
          <w:sz w:val="52"/>
          <w:szCs w:val="52"/>
          <w:lang w:val="en-US" w:eastAsia="zh-CN"/>
        </w:rPr>
        <w:t>建设及药学专业教学资源库建设服务项目技术</w:t>
      </w:r>
      <w:bookmarkStart w:id="9" w:name="_GoBack"/>
      <w:bookmarkEnd w:id="9"/>
      <w:r>
        <w:rPr>
          <w:rFonts w:hint="eastAsia" w:ascii="宋体" w:hAnsi="宋体" w:eastAsia="宋体" w:cs="宋体"/>
          <w:b/>
          <w:bCs/>
          <w:sz w:val="52"/>
          <w:szCs w:val="52"/>
          <w:lang w:val="en-US" w:eastAsia="zh-CN"/>
        </w:rPr>
        <w:t>参数</w:t>
      </w:r>
    </w:p>
    <w:p w14:paraId="41A16C66">
      <w:pPr>
        <w:tabs>
          <w:tab w:val="left" w:pos="420"/>
          <w:tab w:val="left" w:pos="6660"/>
        </w:tabs>
        <w:rPr>
          <w:rFonts w:hint="eastAsia" w:ascii="宋体" w:hAnsi="宋体" w:cs="宋体"/>
          <w:b/>
          <w:bCs/>
          <w:sz w:val="24"/>
        </w:rPr>
      </w:pPr>
    </w:p>
    <w:p w14:paraId="12045249">
      <w:pPr>
        <w:tabs>
          <w:tab w:val="left" w:pos="420"/>
          <w:tab w:val="left" w:pos="6660"/>
        </w:tabs>
        <w:rPr>
          <w:rFonts w:hint="eastAsia" w:ascii="宋体" w:hAnsi="宋体" w:cs="宋体"/>
          <w:b/>
          <w:bCs/>
          <w:sz w:val="24"/>
        </w:rPr>
      </w:pPr>
    </w:p>
    <w:p w14:paraId="49B4A868">
      <w:pPr>
        <w:tabs>
          <w:tab w:val="left" w:pos="420"/>
          <w:tab w:val="left" w:pos="6660"/>
        </w:tabs>
        <w:rPr>
          <w:rFonts w:hint="eastAsia" w:ascii="宋体" w:hAnsi="宋体" w:cs="宋体"/>
          <w:b/>
          <w:bCs/>
          <w:sz w:val="24"/>
        </w:rPr>
      </w:pPr>
    </w:p>
    <w:p w14:paraId="67DE90DA">
      <w:pPr>
        <w:tabs>
          <w:tab w:val="left" w:pos="420"/>
          <w:tab w:val="left" w:pos="6660"/>
        </w:tabs>
        <w:rPr>
          <w:rFonts w:hint="eastAsia" w:ascii="宋体" w:hAnsi="宋体" w:cs="宋体"/>
          <w:b/>
          <w:bCs/>
          <w:sz w:val="24"/>
        </w:rPr>
      </w:pPr>
      <w:r>
        <w:rPr>
          <w:rFonts w:hint="eastAsia" w:ascii="宋体" w:hAnsi="宋体" w:cs="宋体"/>
          <w:b/>
          <w:bCs/>
          <w:sz w:val="24"/>
        </w:rPr>
        <w:t xml:space="preserve"> </w:t>
      </w:r>
    </w:p>
    <w:p w14:paraId="01FE5BC8">
      <w:pPr>
        <w:pStyle w:val="3"/>
        <w:rPr>
          <w:rFonts w:hint="eastAsia" w:ascii="宋体" w:hAnsi="宋体" w:eastAsia="宋体" w:cs="宋体"/>
        </w:rPr>
      </w:pPr>
    </w:p>
    <w:p w14:paraId="25896283">
      <w:pPr>
        <w:tabs>
          <w:tab w:val="left" w:pos="420"/>
          <w:tab w:val="left" w:pos="6660"/>
        </w:tabs>
        <w:rPr>
          <w:rFonts w:hint="eastAsia" w:ascii="宋体" w:hAnsi="宋体" w:cs="宋体"/>
          <w:b/>
          <w:bCs/>
          <w:sz w:val="24"/>
        </w:rPr>
      </w:pPr>
    </w:p>
    <w:p w14:paraId="541DF346">
      <w:pPr>
        <w:tabs>
          <w:tab w:val="left" w:pos="420"/>
          <w:tab w:val="left" w:pos="6660"/>
        </w:tabs>
        <w:rPr>
          <w:rFonts w:hint="eastAsia" w:ascii="宋体" w:hAnsi="宋体" w:cs="宋体"/>
          <w:b/>
          <w:bCs/>
          <w:sz w:val="24"/>
        </w:rPr>
      </w:pPr>
    </w:p>
    <w:p w14:paraId="1870FC2F">
      <w:pPr>
        <w:tabs>
          <w:tab w:val="left" w:pos="420"/>
          <w:tab w:val="left" w:pos="6660"/>
        </w:tabs>
        <w:rPr>
          <w:rFonts w:hint="eastAsia" w:ascii="宋体" w:hAnsi="宋体" w:cs="宋体"/>
          <w:b/>
          <w:bCs/>
          <w:sz w:val="24"/>
        </w:rPr>
      </w:pPr>
    </w:p>
    <w:p w14:paraId="4CB09CD9">
      <w:pPr>
        <w:tabs>
          <w:tab w:val="left" w:pos="420"/>
          <w:tab w:val="left" w:pos="6660"/>
        </w:tabs>
        <w:rPr>
          <w:rFonts w:hint="eastAsia" w:ascii="宋体" w:hAnsi="宋体" w:cs="宋体"/>
          <w:b/>
          <w:bCs/>
          <w:sz w:val="24"/>
        </w:rPr>
      </w:pPr>
    </w:p>
    <w:p w14:paraId="4BC7F112">
      <w:pPr>
        <w:tabs>
          <w:tab w:val="left" w:pos="420"/>
          <w:tab w:val="left" w:pos="6660"/>
        </w:tabs>
        <w:ind w:right="325" w:rightChars="155"/>
        <w:rPr>
          <w:rFonts w:hint="eastAsia" w:ascii="宋体" w:hAnsi="宋体" w:cs="宋体"/>
          <w:b/>
          <w:bCs/>
          <w:sz w:val="24"/>
        </w:rPr>
      </w:pPr>
    </w:p>
    <w:p w14:paraId="59BC2476">
      <w:pPr>
        <w:tabs>
          <w:tab w:val="left" w:pos="420"/>
          <w:tab w:val="left" w:pos="5880"/>
          <w:tab w:val="left" w:pos="6660"/>
          <w:tab w:val="left" w:pos="6940"/>
          <w:tab w:val="left" w:pos="7140"/>
          <w:tab w:val="left" w:pos="7350"/>
          <w:tab w:val="left" w:pos="7770"/>
          <w:tab w:val="left" w:pos="8190"/>
        </w:tabs>
        <w:spacing w:after="240" w:line="360" w:lineRule="auto"/>
        <w:ind w:left="2321" w:leftChars="101" w:right="1346" w:hanging="2109" w:hangingChars="703"/>
        <w:rPr>
          <w:rFonts w:hint="eastAsia" w:ascii="宋体" w:hAnsi="宋体" w:cs="宋体"/>
          <w:b/>
          <w:bCs/>
          <w:sz w:val="30"/>
          <w:szCs w:val="30"/>
          <w:lang w:eastAsia="zh-CN"/>
        </w:rPr>
      </w:pPr>
      <w:r>
        <w:rPr>
          <w:rFonts w:hint="eastAsia" w:ascii="宋体" w:hAnsi="宋体" w:cs="宋体"/>
          <w:b/>
          <w:bCs/>
          <w:sz w:val="30"/>
          <w:szCs w:val="30"/>
        </w:rPr>
        <w:t>采购项目名称：</w:t>
      </w:r>
      <w:r>
        <w:rPr>
          <w:rFonts w:hint="eastAsia" w:ascii="宋体" w:hAnsi="宋体" w:cs="宋体"/>
          <w:b/>
          <w:bCs/>
          <w:sz w:val="30"/>
          <w:szCs w:val="30"/>
          <w:lang w:val="en-US" w:eastAsia="zh-CN"/>
        </w:rPr>
        <w:t>智慧课程</w:t>
      </w:r>
      <w:r>
        <w:rPr>
          <w:rFonts w:hint="eastAsia" w:ascii="宋体" w:hAnsi="宋体" w:eastAsia="宋体" w:cs="宋体"/>
          <w:b/>
          <w:bCs/>
          <w:sz w:val="30"/>
          <w:szCs w:val="30"/>
          <w:lang w:val="en-US" w:eastAsia="zh-CN"/>
        </w:rPr>
        <w:t>建设及药学专业教学资源库建设服务项目</w:t>
      </w:r>
    </w:p>
    <w:p w14:paraId="7DEB6FD3">
      <w:pPr>
        <w:tabs>
          <w:tab w:val="left" w:pos="420"/>
          <w:tab w:val="left" w:pos="6660"/>
        </w:tabs>
        <w:spacing w:after="240" w:line="360" w:lineRule="auto"/>
        <w:ind w:left="3281" w:leftChars="104" w:right="1273" w:hanging="3063" w:hangingChars="1021"/>
        <w:rPr>
          <w:rFonts w:hint="eastAsia" w:ascii="宋体" w:hAnsi="宋体" w:cs="宋体"/>
          <w:b/>
          <w:bCs/>
          <w:sz w:val="30"/>
          <w:szCs w:val="30"/>
        </w:rPr>
      </w:pPr>
      <w:r>
        <w:rPr>
          <w:rFonts w:hint="eastAsia" w:ascii="宋体" w:hAnsi="宋体" w:cs="宋体"/>
          <w:b/>
          <w:bCs/>
          <w:sz w:val="30"/>
          <w:szCs w:val="30"/>
        </w:rPr>
        <w:t>采   购   人：惠州卫生职业技术学院</w:t>
      </w:r>
    </w:p>
    <w:p w14:paraId="68BFF9C9">
      <w:pPr>
        <w:spacing w:line="312" w:lineRule="auto"/>
        <w:rPr>
          <w:rFonts w:hint="eastAsia" w:ascii="宋体" w:hAnsi="宋体" w:cs="宋体"/>
          <w:b/>
          <w:sz w:val="32"/>
          <w:szCs w:val="32"/>
        </w:rPr>
      </w:pPr>
    </w:p>
    <w:bookmarkEnd w:id="0"/>
    <w:p w14:paraId="433AD48C">
      <w:pPr>
        <w:spacing w:line="368" w:lineRule="auto"/>
        <w:rPr>
          <w:rFonts w:hint="eastAsia" w:ascii="宋体" w:hAnsi="宋体" w:cs="宋体"/>
          <w:sz w:val="24"/>
        </w:rPr>
      </w:pPr>
    </w:p>
    <w:p w14:paraId="37CC3A88">
      <w:pPr>
        <w:pStyle w:val="2"/>
        <w:jc w:val="center"/>
        <w:rPr>
          <w:rFonts w:hint="eastAsia" w:ascii="宋体" w:hAnsi="宋体" w:cs="宋体"/>
        </w:rPr>
      </w:pPr>
      <w:bookmarkStart w:id="1" w:name="_Toc261442068"/>
      <w:bookmarkStart w:id="2" w:name="_Toc14908"/>
      <w:bookmarkStart w:id="3" w:name="_Toc11418"/>
      <w:r>
        <w:rPr>
          <w:rFonts w:hint="eastAsia" w:ascii="宋体" w:hAnsi="宋体" w:cs="宋体"/>
        </w:rPr>
        <w:br w:type="page"/>
      </w:r>
      <w:r>
        <w:rPr>
          <w:rFonts w:hint="eastAsia" w:ascii="宋体" w:hAnsi="宋体" w:cs="宋体"/>
        </w:rPr>
        <w:t>第</w:t>
      </w:r>
      <w:r>
        <w:rPr>
          <w:rFonts w:hint="eastAsia" w:ascii="宋体" w:hAnsi="宋体" w:cs="宋体"/>
          <w:lang w:val="en-US" w:eastAsia="zh-CN"/>
        </w:rPr>
        <w:t>一</w:t>
      </w:r>
      <w:r>
        <w:rPr>
          <w:rFonts w:hint="eastAsia" w:ascii="宋体" w:hAnsi="宋体" w:cs="宋体"/>
        </w:rPr>
        <w:t xml:space="preserve">部分 </w:t>
      </w:r>
      <w:bookmarkEnd w:id="1"/>
      <w:r>
        <w:rPr>
          <w:rFonts w:hint="eastAsia" w:ascii="宋体" w:hAnsi="宋体" w:cs="宋体"/>
        </w:rPr>
        <w:t>采购项目内容</w:t>
      </w:r>
      <w:bookmarkEnd w:id="2"/>
      <w:bookmarkEnd w:id="3"/>
    </w:p>
    <w:p w14:paraId="44A79BC0">
      <w:pPr>
        <w:pStyle w:val="3"/>
        <w:spacing w:after="0"/>
        <w:rPr>
          <w:rFonts w:hint="eastAsia" w:ascii="宋体" w:hAnsi="宋体" w:eastAsia="宋体" w:cs="宋体"/>
          <w:b/>
          <w:bCs/>
          <w:sz w:val="24"/>
          <w:szCs w:val="24"/>
          <w:lang w:val="en-US" w:eastAsia="zh-CN"/>
        </w:rPr>
      </w:pPr>
      <w:bookmarkStart w:id="4" w:name="_Toc5095"/>
      <w:bookmarkStart w:id="5" w:name="_Toc261442069"/>
      <w:r>
        <w:rPr>
          <w:rFonts w:hint="eastAsia" w:ascii="宋体" w:hAnsi="宋体" w:eastAsia="宋体" w:cs="宋体"/>
          <w:b/>
          <w:bCs/>
          <w:sz w:val="24"/>
          <w:szCs w:val="24"/>
          <w:lang w:val="en-US" w:eastAsia="zh-CN"/>
        </w:rPr>
        <w:t>一、项目基本情况</w:t>
      </w:r>
    </w:p>
    <w:p w14:paraId="285E1007">
      <w:pPr>
        <w:spacing w:line="368" w:lineRule="auto"/>
        <w:ind w:firstLine="480" w:firstLineChars="200"/>
        <w:rPr>
          <w:rFonts w:hint="eastAsia" w:ascii="宋体" w:hAnsi="宋体" w:eastAsia="宋体" w:cs="宋体"/>
          <w:sz w:val="24"/>
          <w:highlight w:val="none"/>
          <w:lang w:eastAsia="zh-CN"/>
        </w:rPr>
      </w:pPr>
      <w:r>
        <w:rPr>
          <w:rFonts w:hint="eastAsia" w:ascii="宋体" w:hAnsi="宋体" w:cs="宋体"/>
          <w:kern w:val="0"/>
          <w:sz w:val="24"/>
          <w:highlight w:val="none"/>
        </w:rPr>
        <w:t>标的的名称：</w:t>
      </w:r>
      <w:r>
        <w:rPr>
          <w:rFonts w:hint="eastAsia" w:ascii="宋体" w:hAnsi="宋体" w:cs="宋体"/>
          <w:sz w:val="24"/>
          <w:highlight w:val="none"/>
          <w:lang w:eastAsia="zh-CN"/>
        </w:rPr>
        <w:t>智慧课程建设及药学专业教学资源库建设服务项目</w:t>
      </w:r>
    </w:p>
    <w:p w14:paraId="4251F00F">
      <w:pPr>
        <w:spacing w:line="368" w:lineRule="auto"/>
        <w:ind w:firstLine="480" w:firstLineChars="200"/>
        <w:rPr>
          <w:rFonts w:hint="eastAsia" w:ascii="宋体" w:hAnsi="宋体" w:cs="宋体"/>
          <w:kern w:val="0"/>
          <w:sz w:val="24"/>
          <w:highlight w:val="none"/>
        </w:rPr>
      </w:pPr>
      <w:r>
        <w:rPr>
          <w:rFonts w:hint="eastAsia" w:ascii="宋体" w:hAnsi="宋体" w:cs="宋体"/>
          <w:sz w:val="24"/>
          <w:highlight w:val="none"/>
        </w:rPr>
        <w:t>数量：1项</w:t>
      </w:r>
    </w:p>
    <w:p w14:paraId="3711377A">
      <w:pPr>
        <w:spacing w:line="368" w:lineRule="auto"/>
        <w:ind w:firstLine="480" w:firstLineChars="200"/>
        <w:rPr>
          <w:rFonts w:hint="eastAsia" w:ascii="宋体" w:hAnsi="宋体" w:eastAsia="宋体" w:cs="宋体"/>
          <w:kern w:val="0"/>
          <w:sz w:val="24"/>
          <w:highlight w:val="none"/>
        </w:rPr>
      </w:pPr>
      <w:r>
        <w:rPr>
          <w:rFonts w:hint="eastAsia" w:ascii="宋体" w:hAnsi="宋体" w:cs="宋体"/>
          <w:kern w:val="0"/>
          <w:sz w:val="24"/>
          <w:highlight w:val="none"/>
        </w:rPr>
        <w:t>合同履行期限：</w:t>
      </w:r>
      <w:r>
        <w:rPr>
          <w:rFonts w:hint="default" w:ascii="宋体" w:hAnsi="宋体" w:eastAsia="宋体" w:cs="宋体"/>
          <w:kern w:val="0"/>
          <w:sz w:val="24"/>
          <w:highlight w:val="none"/>
          <w:lang w:val="en-US" w:eastAsia="zh-CN"/>
        </w:rPr>
        <w:t>自合同签订之日起</w:t>
      </w:r>
      <w:r>
        <w:rPr>
          <w:rFonts w:hint="eastAsia" w:ascii="宋体" w:hAnsi="宋体" w:eastAsia="宋体" w:cs="宋体"/>
          <w:kern w:val="0"/>
          <w:sz w:val="24"/>
          <w:highlight w:val="none"/>
          <w:lang w:val="en-US" w:eastAsia="zh-CN"/>
        </w:rPr>
        <w:t>12</w:t>
      </w:r>
      <w:r>
        <w:rPr>
          <w:rFonts w:hint="default" w:ascii="宋体" w:hAnsi="宋体" w:eastAsia="宋体" w:cs="宋体"/>
          <w:kern w:val="0"/>
          <w:sz w:val="24"/>
          <w:highlight w:val="none"/>
          <w:lang w:val="en-US" w:eastAsia="zh-CN"/>
        </w:rPr>
        <w:t>个月内提供对应内容的建设及做好功能使用培训</w:t>
      </w:r>
      <w:r>
        <w:rPr>
          <w:rFonts w:hint="eastAsia" w:ascii="宋体" w:hAnsi="宋体" w:eastAsia="宋体" w:cs="宋体"/>
          <w:kern w:val="0"/>
          <w:sz w:val="24"/>
          <w:highlight w:val="none"/>
          <w:lang w:val="en-US" w:eastAsia="zh-CN"/>
        </w:rPr>
        <w:t>及验收</w:t>
      </w:r>
      <w:r>
        <w:rPr>
          <w:rFonts w:hint="default" w:ascii="宋体" w:hAnsi="宋体" w:eastAsia="宋体" w:cs="宋体"/>
          <w:kern w:val="0"/>
          <w:sz w:val="24"/>
          <w:highlight w:val="none"/>
          <w:lang w:val="en-US" w:eastAsia="zh-CN"/>
        </w:rPr>
        <w:t>。</w:t>
      </w:r>
    </w:p>
    <w:p w14:paraId="4A34A782">
      <w:pPr>
        <w:spacing w:line="368"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本项目不接受联合体响应。</w:t>
      </w:r>
    </w:p>
    <w:p w14:paraId="62638D63">
      <w:pPr>
        <w:pStyle w:val="3"/>
        <w:spacing w:after="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二、采购清单</w:t>
      </w:r>
    </w:p>
    <w:tbl>
      <w:tblPr>
        <w:tblStyle w:val="11"/>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5228"/>
        <w:gridCol w:w="882"/>
        <w:gridCol w:w="861"/>
        <w:gridCol w:w="1420"/>
      </w:tblGrid>
      <w:tr w14:paraId="7AB1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 w:type="dxa"/>
            <w:noWrap w:val="0"/>
            <w:vAlign w:val="center"/>
          </w:tcPr>
          <w:p w14:paraId="188999BF">
            <w:pPr>
              <w:numPr>
                <w:ilvl w:val="0"/>
                <w:numId w:val="0"/>
              </w:numPr>
              <w:tabs>
                <w:tab w:val="left" w:pos="89"/>
                <w:tab w:val="left" w:pos="1705"/>
                <w:tab w:val="left" w:pos="2886"/>
                <w:tab w:val="left" w:pos="4421"/>
                <w:tab w:val="left" w:pos="6086"/>
              </w:tabs>
              <w:snapToGrid w:val="0"/>
              <w:spacing w:line="360" w:lineRule="auto"/>
              <w:jc w:val="center"/>
              <w:rPr>
                <w:rFonts w:hint="default" w:ascii="宋体" w:hAnsi="宋体" w:eastAsia="宋体" w:cs="宋体"/>
                <w:b/>
                <w:sz w:val="24"/>
                <w:szCs w:val="24"/>
                <w:lang w:val="en-US" w:eastAsia="zh-CN"/>
              </w:rPr>
            </w:pPr>
            <w:r>
              <w:rPr>
                <w:rFonts w:hint="eastAsia" w:ascii="宋体" w:hAnsi="宋体" w:eastAsia="宋体" w:cs="宋体"/>
                <w:b/>
                <w:sz w:val="24"/>
                <w:szCs w:val="24"/>
                <w:lang w:val="en-US" w:eastAsia="zh-CN"/>
              </w:rPr>
              <w:t>序号</w:t>
            </w:r>
          </w:p>
        </w:tc>
        <w:tc>
          <w:tcPr>
            <w:tcW w:w="5228" w:type="dxa"/>
            <w:noWrap w:val="0"/>
            <w:vAlign w:val="center"/>
          </w:tcPr>
          <w:p w14:paraId="19CBC46F">
            <w:pPr>
              <w:numPr>
                <w:ilvl w:val="0"/>
                <w:numId w:val="0"/>
              </w:numPr>
              <w:tabs>
                <w:tab w:val="left" w:pos="89"/>
                <w:tab w:val="left" w:pos="1705"/>
                <w:tab w:val="left" w:pos="2886"/>
                <w:tab w:val="left" w:pos="4421"/>
                <w:tab w:val="left" w:pos="6086"/>
              </w:tabs>
              <w:snapToGrid w:val="0"/>
              <w:spacing w:line="360" w:lineRule="auto"/>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lang w:val="en-US" w:eastAsia="zh-CN"/>
              </w:rPr>
              <w:t>项目名称</w:t>
            </w:r>
          </w:p>
        </w:tc>
        <w:tc>
          <w:tcPr>
            <w:tcW w:w="882" w:type="dxa"/>
            <w:noWrap w:val="0"/>
            <w:vAlign w:val="center"/>
          </w:tcPr>
          <w:p w14:paraId="24C2B56A">
            <w:pPr>
              <w:numPr>
                <w:ilvl w:val="0"/>
                <w:numId w:val="0"/>
              </w:numPr>
              <w:tabs>
                <w:tab w:val="left" w:pos="89"/>
                <w:tab w:val="left" w:pos="1705"/>
                <w:tab w:val="left" w:pos="2886"/>
                <w:tab w:val="left" w:pos="4421"/>
                <w:tab w:val="left" w:pos="6086"/>
              </w:tabs>
              <w:snapToGrid w:val="0"/>
              <w:spacing w:line="360" w:lineRule="auto"/>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数量</w:t>
            </w:r>
          </w:p>
        </w:tc>
        <w:tc>
          <w:tcPr>
            <w:tcW w:w="861" w:type="dxa"/>
            <w:noWrap w:val="0"/>
            <w:vAlign w:val="center"/>
          </w:tcPr>
          <w:p w14:paraId="14729EF5">
            <w:pPr>
              <w:numPr>
                <w:ilvl w:val="0"/>
                <w:numId w:val="0"/>
              </w:numPr>
              <w:tabs>
                <w:tab w:val="left" w:pos="89"/>
                <w:tab w:val="left" w:pos="1705"/>
                <w:tab w:val="left" w:pos="2886"/>
                <w:tab w:val="left" w:pos="4421"/>
                <w:tab w:val="left" w:pos="6086"/>
              </w:tabs>
              <w:snapToGrid w:val="0"/>
              <w:spacing w:line="360" w:lineRule="auto"/>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单位</w:t>
            </w:r>
          </w:p>
        </w:tc>
        <w:tc>
          <w:tcPr>
            <w:tcW w:w="1420" w:type="dxa"/>
            <w:noWrap w:val="0"/>
            <w:vAlign w:val="center"/>
          </w:tcPr>
          <w:p w14:paraId="133E2C26">
            <w:pPr>
              <w:numPr>
                <w:ilvl w:val="0"/>
                <w:numId w:val="0"/>
              </w:numPr>
              <w:tabs>
                <w:tab w:val="left" w:pos="89"/>
                <w:tab w:val="left" w:pos="1705"/>
                <w:tab w:val="left" w:pos="2886"/>
                <w:tab w:val="left" w:pos="4421"/>
                <w:tab w:val="left" w:pos="6086"/>
              </w:tabs>
              <w:snapToGrid w:val="0"/>
              <w:spacing w:line="360" w:lineRule="auto"/>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服务年限</w:t>
            </w:r>
          </w:p>
        </w:tc>
      </w:tr>
      <w:tr w14:paraId="01AA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 w:type="dxa"/>
            <w:noWrap w:val="0"/>
            <w:vAlign w:val="center"/>
          </w:tcPr>
          <w:p w14:paraId="4136BF64">
            <w:pPr>
              <w:widowControl/>
              <w:spacing w:line="36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5228" w:type="dxa"/>
            <w:noWrap w:val="0"/>
            <w:vAlign w:val="center"/>
          </w:tcPr>
          <w:p w14:paraId="26411253">
            <w:pPr>
              <w:widowControl/>
              <w:spacing w:line="360" w:lineRule="auto"/>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rPr>
              <w:t>智慧课程</w:t>
            </w:r>
            <w:r>
              <w:rPr>
                <w:rFonts w:hint="eastAsia" w:ascii="宋体" w:hAnsi="宋体" w:eastAsia="宋体" w:cs="宋体"/>
                <w:kern w:val="0"/>
                <w:sz w:val="24"/>
                <w:szCs w:val="24"/>
                <w:lang w:val="en-US" w:eastAsia="zh-CN"/>
              </w:rPr>
              <w:t>建设服务</w:t>
            </w:r>
          </w:p>
        </w:tc>
        <w:tc>
          <w:tcPr>
            <w:tcW w:w="882" w:type="dxa"/>
            <w:noWrap w:val="0"/>
            <w:vAlign w:val="center"/>
          </w:tcPr>
          <w:p w14:paraId="55B4F876">
            <w:pPr>
              <w:widowControl/>
              <w:spacing w:line="360" w:lineRule="auto"/>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5</w:t>
            </w:r>
          </w:p>
        </w:tc>
        <w:tc>
          <w:tcPr>
            <w:tcW w:w="861" w:type="dxa"/>
            <w:noWrap w:val="0"/>
            <w:vAlign w:val="center"/>
          </w:tcPr>
          <w:p w14:paraId="0A154FF8">
            <w:pPr>
              <w:widowControl/>
              <w:spacing w:line="360" w:lineRule="auto"/>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门</w:t>
            </w:r>
          </w:p>
        </w:tc>
        <w:tc>
          <w:tcPr>
            <w:tcW w:w="1420" w:type="dxa"/>
            <w:noWrap w:val="0"/>
            <w:vAlign w:val="center"/>
          </w:tcPr>
          <w:p w14:paraId="328465BD">
            <w:pPr>
              <w:widowControl/>
              <w:spacing w:line="240" w:lineRule="auto"/>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签订合同后1年</w:t>
            </w:r>
          </w:p>
        </w:tc>
      </w:tr>
      <w:tr w14:paraId="661B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 w:type="dxa"/>
            <w:noWrap w:val="0"/>
            <w:vAlign w:val="center"/>
          </w:tcPr>
          <w:p w14:paraId="0BE678CC">
            <w:pPr>
              <w:widowControl/>
              <w:spacing w:line="36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c>
          <w:tcPr>
            <w:tcW w:w="5228" w:type="dxa"/>
            <w:noWrap w:val="0"/>
            <w:vAlign w:val="center"/>
          </w:tcPr>
          <w:p w14:paraId="5E87EEAB">
            <w:pPr>
              <w:widowControl/>
              <w:spacing w:line="360" w:lineRule="auto"/>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药学专业教学资源库门户网站设计开发服务</w:t>
            </w:r>
          </w:p>
        </w:tc>
        <w:tc>
          <w:tcPr>
            <w:tcW w:w="882" w:type="dxa"/>
            <w:noWrap w:val="0"/>
            <w:vAlign w:val="center"/>
          </w:tcPr>
          <w:p w14:paraId="0F71C63F">
            <w:pPr>
              <w:widowControl/>
              <w:spacing w:line="360" w:lineRule="auto"/>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w:t>
            </w:r>
          </w:p>
        </w:tc>
        <w:tc>
          <w:tcPr>
            <w:tcW w:w="861" w:type="dxa"/>
            <w:noWrap w:val="0"/>
            <w:vAlign w:val="center"/>
          </w:tcPr>
          <w:p w14:paraId="525A8217">
            <w:pPr>
              <w:widowControl/>
              <w:spacing w:line="360" w:lineRule="auto"/>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项</w:t>
            </w:r>
          </w:p>
        </w:tc>
        <w:tc>
          <w:tcPr>
            <w:tcW w:w="1420" w:type="dxa"/>
            <w:noWrap w:val="0"/>
            <w:vAlign w:val="center"/>
          </w:tcPr>
          <w:p w14:paraId="7877B8E9">
            <w:pPr>
              <w:widowControl/>
              <w:spacing w:line="240" w:lineRule="auto"/>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签订合同后1年</w:t>
            </w:r>
          </w:p>
        </w:tc>
      </w:tr>
      <w:tr w14:paraId="1CE3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 w:type="dxa"/>
            <w:noWrap w:val="0"/>
            <w:vAlign w:val="center"/>
          </w:tcPr>
          <w:p w14:paraId="523D036B">
            <w:pPr>
              <w:widowControl/>
              <w:spacing w:line="36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p>
        </w:tc>
        <w:tc>
          <w:tcPr>
            <w:tcW w:w="5228" w:type="dxa"/>
            <w:noWrap w:val="0"/>
            <w:vAlign w:val="center"/>
          </w:tcPr>
          <w:p w14:paraId="76C015AE">
            <w:pPr>
              <w:widowControl/>
              <w:spacing w:line="360" w:lineRule="auto"/>
              <w:ind w:firstLine="560" w:firstLineChars="0"/>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药学专业教学资源库平台运维服务</w:t>
            </w:r>
          </w:p>
        </w:tc>
        <w:tc>
          <w:tcPr>
            <w:tcW w:w="882" w:type="dxa"/>
            <w:noWrap w:val="0"/>
            <w:vAlign w:val="center"/>
          </w:tcPr>
          <w:p w14:paraId="7BDA7F99">
            <w:pPr>
              <w:widowControl/>
              <w:spacing w:line="360" w:lineRule="auto"/>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w:t>
            </w:r>
          </w:p>
        </w:tc>
        <w:tc>
          <w:tcPr>
            <w:tcW w:w="861" w:type="dxa"/>
            <w:noWrap w:val="0"/>
            <w:vAlign w:val="center"/>
          </w:tcPr>
          <w:p w14:paraId="57938F37">
            <w:pPr>
              <w:widowControl/>
              <w:spacing w:line="360" w:lineRule="auto"/>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项</w:t>
            </w:r>
          </w:p>
        </w:tc>
        <w:tc>
          <w:tcPr>
            <w:tcW w:w="1420" w:type="dxa"/>
            <w:noWrap w:val="0"/>
            <w:vAlign w:val="center"/>
          </w:tcPr>
          <w:p w14:paraId="57287134">
            <w:pPr>
              <w:widowControl/>
              <w:spacing w:line="240" w:lineRule="auto"/>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签订合同后1年</w:t>
            </w:r>
          </w:p>
        </w:tc>
      </w:tr>
    </w:tbl>
    <w:p w14:paraId="35F41D2B">
      <w:pPr>
        <w:pStyle w:val="3"/>
        <w:spacing w:after="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三、申请人的资格要求</w:t>
      </w:r>
    </w:p>
    <w:bookmarkEnd w:id="4"/>
    <w:p w14:paraId="115676CE">
      <w:pPr>
        <w:spacing w:line="360" w:lineRule="auto"/>
        <w:ind w:firstLine="480" w:firstLineChars="200"/>
        <w:rPr>
          <w:rFonts w:hint="eastAsia" w:ascii="宋体" w:hAnsi="宋体" w:cs="宋体"/>
          <w:sz w:val="24"/>
        </w:rPr>
      </w:pPr>
      <w:r>
        <w:rPr>
          <w:rFonts w:hint="eastAsia" w:ascii="宋体" w:hAnsi="宋体" w:cs="宋体"/>
          <w:sz w:val="24"/>
        </w:rPr>
        <w:t>1.供应商应具备《中华人民共和国政府采购法》第二十二条规定的条件；</w:t>
      </w:r>
    </w:p>
    <w:p w14:paraId="7144F961">
      <w:pPr>
        <w:spacing w:line="360" w:lineRule="auto"/>
        <w:ind w:firstLine="480"/>
        <w:rPr>
          <w:rFonts w:hint="eastAsia" w:ascii="宋体" w:hAnsi="宋体" w:cs="宋体"/>
          <w:sz w:val="24"/>
          <w:lang w:val="zh-CN"/>
        </w:rPr>
      </w:pPr>
      <w:r>
        <w:rPr>
          <w:rFonts w:hint="eastAsia" w:ascii="宋体" w:hAnsi="宋体" w:cs="宋体"/>
          <w:sz w:val="24"/>
        </w:rPr>
        <w:t>1） 供应商必须是具有独立承担民事责任能力的在中华人民共和国境内注册的法人或其他组织或自然人，投标（响应）时提交有效的营业执照（或事业法人登记证或身份证等相关证明）复印件。分支机构响应的，须提供总公司和分公司营业执照复印件，总公司出具给分支机构的授权书。</w:t>
      </w:r>
    </w:p>
    <w:p w14:paraId="6ABCFB76">
      <w:pPr>
        <w:spacing w:line="360" w:lineRule="auto"/>
        <w:ind w:firstLine="480"/>
        <w:rPr>
          <w:rFonts w:hint="eastAsia" w:ascii="宋体" w:hAnsi="宋体" w:cs="宋体"/>
          <w:sz w:val="24"/>
        </w:rPr>
      </w:pPr>
      <w:r>
        <w:rPr>
          <w:rFonts w:hint="eastAsia" w:ascii="宋体" w:hAnsi="宋体" w:cs="宋体"/>
          <w:sz w:val="24"/>
        </w:rPr>
        <w:t>2） 供应商必须具有良好的商业信誉和健全的财务会计制度。供应商必须具有良好的商业信誉和健全的财务会计制度（提供202</w:t>
      </w:r>
      <w:r>
        <w:rPr>
          <w:rFonts w:hint="eastAsia" w:ascii="宋体" w:hAnsi="宋体" w:cs="宋体"/>
          <w:sz w:val="24"/>
          <w:lang w:val="en-US" w:eastAsia="zh-CN"/>
        </w:rPr>
        <w:t>5</w:t>
      </w:r>
      <w:r>
        <w:rPr>
          <w:rFonts w:hint="eastAsia" w:ascii="宋体" w:hAnsi="宋体" w:cs="宋体"/>
          <w:sz w:val="24"/>
        </w:rPr>
        <w:t>年度财务报表或202</w:t>
      </w:r>
      <w:r>
        <w:rPr>
          <w:rFonts w:hint="eastAsia" w:ascii="宋体" w:hAnsi="宋体" w:cs="宋体"/>
          <w:sz w:val="24"/>
          <w:lang w:val="en-US" w:eastAsia="zh-CN"/>
        </w:rPr>
        <w:t>6</w:t>
      </w:r>
      <w:r>
        <w:rPr>
          <w:rFonts w:hint="eastAsia" w:ascii="宋体" w:hAnsi="宋体" w:cs="宋体"/>
          <w:sz w:val="24"/>
        </w:rPr>
        <w:t>年任意一个月财务报表或基本开户行出具的资信证明）</w:t>
      </w:r>
    </w:p>
    <w:p w14:paraId="673FBB98">
      <w:pPr>
        <w:tabs>
          <w:tab w:val="left" w:pos="0"/>
        </w:tabs>
        <w:spacing w:line="360" w:lineRule="auto"/>
        <w:ind w:firstLine="480" w:firstLineChars="200"/>
        <w:rPr>
          <w:rFonts w:hint="eastAsia" w:ascii="宋体" w:hAnsi="宋体" w:cs="宋体"/>
          <w:sz w:val="24"/>
        </w:rPr>
      </w:pPr>
      <w:r>
        <w:rPr>
          <w:rFonts w:hint="eastAsia" w:ascii="宋体" w:hAnsi="宋体" w:cs="宋体"/>
          <w:sz w:val="24"/>
        </w:rPr>
        <w:t>3） 供应商有依法缴纳税收和社会保障资金的良好记录。响应截止前六个月内任意一个月缴纳税收和社会保险的凭据，如依法免（缓缴）税和社会保险的，应提供相应文件证明其依法免（缓缴）税和社会保险；（复印件加盖公章）</w:t>
      </w:r>
    </w:p>
    <w:p w14:paraId="2DB09CB8">
      <w:pPr>
        <w:spacing w:line="360" w:lineRule="auto"/>
        <w:ind w:firstLine="480"/>
        <w:rPr>
          <w:rFonts w:hint="eastAsia" w:ascii="宋体" w:hAnsi="宋体" w:cs="宋体"/>
          <w:sz w:val="24"/>
        </w:rPr>
      </w:pPr>
      <w:r>
        <w:rPr>
          <w:rFonts w:hint="eastAsia" w:ascii="宋体" w:hAnsi="宋体" w:cs="宋体"/>
          <w:sz w:val="24"/>
        </w:rPr>
        <w:t>4） 供应商具备履行合同所必需的设备和专业技术能力。具备履行合同所必需的设备和专业技术能力的声明，格式自拟。</w:t>
      </w:r>
    </w:p>
    <w:p w14:paraId="148C04DD">
      <w:pPr>
        <w:spacing w:line="360" w:lineRule="auto"/>
        <w:ind w:firstLine="552"/>
        <w:rPr>
          <w:rFonts w:hint="eastAsia" w:ascii="宋体" w:hAnsi="宋体" w:cs="宋体"/>
          <w:sz w:val="24"/>
        </w:rPr>
      </w:pPr>
      <w:r>
        <w:rPr>
          <w:rFonts w:hint="eastAsia" w:ascii="宋体" w:hAnsi="宋体" w:cs="宋体"/>
          <w:sz w:val="24"/>
        </w:rPr>
        <w:t>5） 供应商参加政府采购活动前三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38229F5">
      <w:pPr>
        <w:spacing w:line="360" w:lineRule="auto"/>
        <w:ind w:firstLine="552"/>
        <w:rPr>
          <w:rFonts w:hint="eastAsia" w:ascii="宋体" w:hAnsi="宋体" w:cs="宋体"/>
          <w:sz w:val="24"/>
        </w:rPr>
      </w:pPr>
      <w:r>
        <w:rPr>
          <w:rFonts w:hint="eastAsia" w:ascii="宋体" w:hAnsi="宋体" w:cs="宋体"/>
          <w:sz w:val="24"/>
        </w:rPr>
        <w:t>6） 供应商必须符合法律、行政法规规定的其他条件。</w:t>
      </w:r>
    </w:p>
    <w:p w14:paraId="30FEFE45">
      <w:pPr>
        <w:spacing w:line="360" w:lineRule="auto"/>
        <w:ind w:firstLine="480" w:firstLineChars="200"/>
        <w:rPr>
          <w:rFonts w:hint="eastAsia" w:ascii="宋体" w:hAnsi="宋体" w:cs="宋体"/>
          <w:sz w:val="24"/>
        </w:rPr>
      </w:pPr>
      <w:r>
        <w:rPr>
          <w:rFonts w:hint="eastAsia" w:ascii="宋体" w:hAnsi="宋体" w:cs="宋体"/>
          <w:sz w:val="24"/>
        </w:rPr>
        <w:t>2. 供应商未被列入“信用中国”网站(www.creditchina.gov.cn)“记录失信被执行人或重大税收违法案件当事人名单（重大税收违法失信主体）或政府采购严重违法失信行为”记录名单；不处于中国政府采购网(www.ccgp.gov.cn)“政府采购严重违法失信行为信息记录”中的禁止参加政府采购活动期间。（代理机构于响应截止日当天在“信用中国”网站（www.creditchina.gov.cn）及中国政府采购网(www.ccgp.gov.cn)进行核查，如相关失信记录已失效，供应商需提供相关证明。）</w:t>
      </w:r>
    </w:p>
    <w:p w14:paraId="437C4D6B">
      <w:pPr>
        <w:spacing w:line="360" w:lineRule="auto"/>
        <w:ind w:firstLine="480" w:firstLineChars="200"/>
        <w:rPr>
          <w:rFonts w:hint="eastAsia" w:ascii="宋体" w:hAnsi="宋体" w:cs="宋体"/>
          <w:sz w:val="24"/>
        </w:rPr>
      </w:pPr>
      <w:r>
        <w:rPr>
          <w:rFonts w:hint="eastAsia" w:ascii="宋体" w:hAnsi="宋体" w:cs="宋体"/>
          <w:sz w:val="24"/>
        </w:rPr>
        <w:t>3. 单位负责人为同一人或者存在直接控股、管理关系的不同供应商，不得同时参加本项目响应。</w:t>
      </w:r>
    </w:p>
    <w:p w14:paraId="47E95F06">
      <w:pPr>
        <w:spacing w:line="360" w:lineRule="auto"/>
        <w:ind w:firstLine="480" w:firstLineChars="200"/>
        <w:rPr>
          <w:rFonts w:hint="eastAsia" w:ascii="宋体" w:hAnsi="宋体" w:cs="宋体"/>
          <w:sz w:val="24"/>
        </w:rPr>
      </w:pPr>
      <w:r>
        <w:rPr>
          <w:rFonts w:hint="eastAsia" w:ascii="宋体" w:hAnsi="宋体" w:cs="宋体"/>
          <w:sz w:val="24"/>
        </w:rPr>
        <w:t>4. 为本项目提供整体设计、规范编制或者项目管理、监理、检测等服务的供应商，不得再参与本项目响应。</w:t>
      </w:r>
    </w:p>
    <w:p w14:paraId="34EA1709">
      <w:pPr>
        <w:spacing w:line="360" w:lineRule="auto"/>
        <w:ind w:firstLine="480" w:firstLineChars="200"/>
        <w:rPr>
          <w:rFonts w:hint="eastAsia" w:ascii="宋体" w:hAnsi="宋体" w:cs="宋体"/>
          <w:sz w:val="24"/>
        </w:rPr>
      </w:pPr>
      <w:r>
        <w:rPr>
          <w:rFonts w:hint="eastAsia" w:ascii="宋体" w:hAnsi="宋体" w:cs="宋体"/>
          <w:sz w:val="24"/>
        </w:rPr>
        <w:t>5.本项目不接受联合体响应，不允许供应商对本招标项目进行分包和转包。</w:t>
      </w:r>
    </w:p>
    <w:p w14:paraId="435D0233">
      <w:pPr>
        <w:spacing w:line="360" w:lineRule="auto"/>
        <w:ind w:firstLine="480" w:firstLineChars="200"/>
        <w:rPr>
          <w:rFonts w:hint="eastAsia" w:ascii="宋体" w:hAnsi="宋体" w:cs="宋体"/>
          <w:sz w:val="24"/>
        </w:rPr>
      </w:pPr>
      <w:r>
        <w:rPr>
          <w:rFonts w:hint="eastAsia" w:ascii="宋体" w:hAnsi="宋体" w:cs="宋体"/>
          <w:sz w:val="24"/>
        </w:rPr>
        <w:t>6.需要落实的政府采购政策：本项目专门面向中小企业采购的服务类项目。中小企业须符合本项目采购标的</w:t>
      </w:r>
      <w:r>
        <w:rPr>
          <w:rFonts w:hint="eastAsia" w:ascii="宋体" w:hAnsi="宋体" w:cs="宋体"/>
          <w:sz w:val="24"/>
          <w:highlight w:val="none"/>
        </w:rPr>
        <w:t>对应行业(</w:t>
      </w:r>
      <w:r>
        <w:rPr>
          <w:rFonts w:hint="eastAsia" w:ascii="宋体" w:hAnsi="宋体" w:cs="宋体"/>
          <w:color w:val="333333"/>
          <w:kern w:val="0"/>
          <w:sz w:val="24"/>
          <w:highlight w:val="none"/>
          <w:lang w:bidi="ar"/>
        </w:rPr>
        <w:t>软件和信息技术服务业</w:t>
      </w:r>
      <w:r>
        <w:rPr>
          <w:rFonts w:hint="eastAsia" w:ascii="宋体" w:hAnsi="宋体" w:cs="宋体"/>
          <w:sz w:val="24"/>
          <w:highlight w:val="none"/>
        </w:rPr>
        <w:t>)的政策划</w:t>
      </w:r>
      <w:r>
        <w:rPr>
          <w:rFonts w:hint="eastAsia" w:ascii="宋体" w:hAnsi="宋体" w:cs="宋体"/>
          <w:sz w:val="24"/>
        </w:rPr>
        <w:t>分标准(监狱企业、残疾人福利单位视同小型、微型企业)。中小微企业以供应商填写的《中小企业声明函》(见响应文件格式)为判定标准，残疾人福利性单位以供应商填写的《残疾人福利性单位声明函》(见响应文件格式)为判定标准，监狱企业须供应商提供由省级以上监狱管理局、戒毒管理局(含新疆生产建设兵团)出具的属于监狱企业的证明文件，否则不予认定。</w:t>
      </w:r>
    </w:p>
    <w:p w14:paraId="59F112A8">
      <w:pPr>
        <w:pStyle w:val="3"/>
        <w:spacing w:after="0"/>
        <w:rPr>
          <w:rFonts w:hint="eastAsia" w:ascii="宋体" w:hAnsi="宋体" w:eastAsia="宋体" w:cs="宋体"/>
          <w:sz w:val="28"/>
          <w:szCs w:val="28"/>
        </w:rPr>
      </w:pPr>
      <w:bookmarkStart w:id="6" w:name="_Toc61013198"/>
      <w:r>
        <w:rPr>
          <w:rFonts w:hint="eastAsia" w:ascii="宋体" w:hAnsi="宋体" w:eastAsia="宋体" w:cs="宋体"/>
          <w:sz w:val="28"/>
          <w:szCs w:val="28"/>
        </w:rPr>
        <w:br w:type="page"/>
      </w:r>
      <w:bookmarkStart w:id="7" w:name="_Toc12166"/>
      <w:r>
        <w:rPr>
          <w:rFonts w:hint="eastAsia" w:ascii="宋体" w:hAnsi="宋体" w:eastAsia="宋体" w:cs="宋体"/>
          <w:sz w:val="24"/>
          <w:szCs w:val="24"/>
          <w:lang w:val="en-US" w:eastAsia="zh-CN"/>
        </w:rPr>
        <w:t>四</w:t>
      </w:r>
      <w:r>
        <w:rPr>
          <w:rFonts w:hint="eastAsia" w:ascii="宋体" w:hAnsi="宋体" w:eastAsia="宋体" w:cs="宋体"/>
          <w:sz w:val="24"/>
          <w:szCs w:val="24"/>
        </w:rPr>
        <w:t>、采购项目</w:t>
      </w:r>
      <w:r>
        <w:rPr>
          <w:rFonts w:hint="eastAsia" w:ascii="宋体" w:hAnsi="宋体" w:eastAsia="宋体" w:cs="宋体"/>
          <w:sz w:val="24"/>
          <w:szCs w:val="24"/>
          <w:lang w:val="en-US" w:eastAsia="zh-CN"/>
        </w:rPr>
        <w:t>概况及</w:t>
      </w:r>
      <w:r>
        <w:rPr>
          <w:rFonts w:hint="eastAsia" w:ascii="宋体" w:hAnsi="宋体" w:eastAsia="宋体" w:cs="宋体"/>
          <w:sz w:val="24"/>
          <w:szCs w:val="24"/>
        </w:rPr>
        <w:t>技术规格、参数及要求</w:t>
      </w:r>
      <w:bookmarkEnd w:id="6"/>
      <w:bookmarkEnd w:id="7"/>
    </w:p>
    <w:p w14:paraId="5FC0F51B">
      <w:pPr>
        <w:pStyle w:val="4"/>
        <w:bidi w:val="0"/>
        <w:rPr>
          <w:rFonts w:hint="default"/>
          <w:sz w:val="24"/>
          <w:szCs w:val="24"/>
          <w:lang w:val="en-US" w:eastAsia="zh-CN"/>
        </w:rPr>
      </w:pPr>
      <w:r>
        <w:rPr>
          <w:rFonts w:hint="eastAsia"/>
          <w:sz w:val="24"/>
          <w:szCs w:val="24"/>
          <w:lang w:val="en-US" w:eastAsia="zh-CN"/>
        </w:rPr>
        <w:t>（一）项目概况</w:t>
      </w:r>
    </w:p>
    <w:p w14:paraId="0F30570D">
      <w:pPr>
        <w:pStyle w:val="7"/>
        <w:numPr>
          <w:ilvl w:val="0"/>
          <w:numId w:val="0"/>
        </w:numPr>
        <w:tabs>
          <w:tab w:val="left" w:pos="1440"/>
          <w:tab w:val="right" w:leader="dot" w:pos="8937"/>
        </w:tabs>
        <w:spacing w:line="360" w:lineRule="auto"/>
        <w:ind w:left="0" w:leftChars="0" w:firstLine="480" w:firstLineChars="200"/>
        <w:rPr>
          <w:rFonts w:hint="eastAsia" w:ascii="宋体" w:hAnsi="宋体" w:eastAsia="宋体" w:cs="宋体"/>
          <w:i w:val="0"/>
          <w:iCs w:val="0"/>
          <w:kern w:val="2"/>
          <w:sz w:val="24"/>
          <w:szCs w:val="24"/>
          <w:lang w:val="en-US" w:eastAsia="zh-CN" w:bidi="ar-SA"/>
        </w:rPr>
      </w:pPr>
      <w:r>
        <w:rPr>
          <w:rFonts w:hint="eastAsia" w:ascii="宋体" w:hAnsi="宋体" w:eastAsia="宋体" w:cs="宋体"/>
          <w:i w:val="0"/>
          <w:iCs w:val="0"/>
          <w:kern w:val="2"/>
          <w:sz w:val="24"/>
          <w:szCs w:val="24"/>
          <w:lang w:val="en-US" w:eastAsia="zh-CN" w:bidi="ar-SA"/>
        </w:rPr>
        <w:t xml:space="preserve">1.搭建一体化系统架构：依托SaaS服务模式与“统一门户WEB端+校级资源库管理”框架，完成资源管理、教学设计等模块与学校前置机、统一身份认证系统深度对接。通过数据库同步实现校内数据与平台实时交互，同步国家平台已上线内容并配置检索引擎，以单点登录打破壁垒，构建数据流通顺畅、多端协同的一体化架构，筑牢技术底座。 </w:t>
      </w:r>
    </w:p>
    <w:p w14:paraId="04225BA9">
      <w:pPr>
        <w:pStyle w:val="7"/>
        <w:numPr>
          <w:ilvl w:val="0"/>
          <w:numId w:val="0"/>
        </w:numPr>
        <w:tabs>
          <w:tab w:val="left" w:pos="1440"/>
          <w:tab w:val="right" w:leader="dot" w:pos="8937"/>
        </w:tabs>
        <w:spacing w:line="360" w:lineRule="auto"/>
        <w:ind w:left="0" w:leftChars="0" w:firstLine="480" w:firstLineChars="200"/>
        <w:rPr>
          <w:rFonts w:hint="eastAsia" w:ascii="宋体" w:hAnsi="宋体" w:eastAsia="宋体" w:cs="宋体"/>
          <w:i w:val="0"/>
          <w:iCs w:val="0"/>
          <w:kern w:val="2"/>
          <w:sz w:val="24"/>
          <w:szCs w:val="24"/>
          <w:lang w:val="en-US" w:eastAsia="zh-CN" w:bidi="ar-SA"/>
        </w:rPr>
      </w:pPr>
      <w:r>
        <w:rPr>
          <w:rFonts w:hint="eastAsia" w:ascii="宋体" w:hAnsi="宋体" w:eastAsia="宋体" w:cs="宋体"/>
          <w:i w:val="0"/>
          <w:iCs w:val="0"/>
          <w:kern w:val="2"/>
          <w:sz w:val="24"/>
          <w:szCs w:val="24"/>
          <w:lang w:val="en-US" w:eastAsia="zh-CN" w:bidi="ar-SA"/>
        </w:rPr>
        <w:t>2.构建标准化资源管理体系：基于全场景资源，建立统一资源编目与数据标准，规范基础信息，分类整合课程、实训等各类资源。设计含登录注册、全站搜索、固定二级导航等模块的规范页面，实现资源集中存储、检索与调配，打造覆盖教学全环节的标准化资源池，破解资源分散问题。</w:t>
      </w:r>
    </w:p>
    <w:p w14:paraId="37281788">
      <w:pPr>
        <w:pStyle w:val="7"/>
        <w:numPr>
          <w:ilvl w:val="0"/>
          <w:numId w:val="0"/>
        </w:numPr>
        <w:tabs>
          <w:tab w:val="left" w:pos="1440"/>
          <w:tab w:val="right" w:leader="dot" w:pos="8937"/>
        </w:tabs>
        <w:spacing w:line="360" w:lineRule="auto"/>
        <w:ind w:left="0" w:leftChars="0" w:firstLine="480" w:firstLineChars="200"/>
        <w:rPr>
          <w:rFonts w:hint="eastAsia" w:ascii="宋体" w:hAnsi="宋体" w:eastAsia="宋体" w:cs="宋体"/>
          <w:i w:val="0"/>
          <w:iCs w:val="0"/>
          <w:kern w:val="2"/>
          <w:sz w:val="24"/>
          <w:szCs w:val="24"/>
          <w:lang w:val="en-US" w:eastAsia="zh-CN" w:bidi="ar-SA"/>
        </w:rPr>
      </w:pPr>
      <w:r>
        <w:rPr>
          <w:rFonts w:hint="eastAsia" w:ascii="宋体" w:hAnsi="宋体" w:eastAsia="宋体" w:cs="宋体"/>
          <w:i w:val="0"/>
          <w:iCs w:val="0"/>
          <w:kern w:val="2"/>
          <w:sz w:val="24"/>
          <w:szCs w:val="24"/>
          <w:lang w:val="en-US" w:eastAsia="zh-CN" w:bidi="ar-SA"/>
        </w:rPr>
        <w:t xml:space="preserve"> 3. 打造协同教学应用生态：以平台功能推动“教-学-管”协同，教师可关联资源库开展混合教学，通过题库等模块实现学业评价闭环；学生经统一门户便捷获取资源、参与互动；管理员可灵活添加模块，统计分析模块为教学优化与决策提供数据支撑，赋能教与学全流程。</w:t>
      </w:r>
    </w:p>
    <w:p w14:paraId="276A4839">
      <w:pPr>
        <w:pStyle w:val="4"/>
        <w:bidi w:val="0"/>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（二）服务模块技术规格、参数</w:t>
      </w:r>
    </w:p>
    <w:p w14:paraId="0095CA11">
      <w:pPr>
        <w:pStyle w:val="5"/>
        <w:numPr>
          <w:ilvl w:val="0"/>
          <w:numId w:val="0"/>
        </w:numPr>
        <w:spacing w:line="360" w:lineRule="auto"/>
        <w:ind w:left="0" w:leftChars="0"/>
        <w:rPr>
          <w:rFonts w:hint="eastAsia" w:ascii="宋体" w:hAnsi="宋体" w:eastAsia="宋体" w:cs="宋体"/>
          <w:b/>
          <w:bCs w:val="0"/>
          <w:kern w:val="2"/>
          <w:sz w:val="24"/>
          <w:szCs w:val="24"/>
          <w:lang w:val="en-US" w:eastAsia="zh-CN" w:bidi="ar-SA"/>
        </w:rPr>
      </w:pPr>
      <w:r>
        <w:rPr>
          <w:rFonts w:hint="eastAsia" w:ascii="宋体" w:hAnsi="宋体" w:eastAsia="宋体" w:cs="宋体"/>
          <w:b/>
          <w:bCs w:val="0"/>
          <w:kern w:val="2"/>
          <w:sz w:val="24"/>
          <w:szCs w:val="24"/>
          <w:lang w:val="en-US" w:eastAsia="zh-CN" w:bidi="ar-SA"/>
        </w:rPr>
        <w:t>一）</w:t>
      </w:r>
      <w:r>
        <w:rPr>
          <w:rFonts w:hint="eastAsia" w:ascii="宋体" w:hAnsi="宋体" w:cs="宋体"/>
          <w:b/>
          <w:bCs w:val="0"/>
          <w:kern w:val="2"/>
          <w:sz w:val="24"/>
          <w:szCs w:val="24"/>
          <w:lang w:val="en-US" w:eastAsia="zh-CN" w:bidi="ar-SA"/>
        </w:rPr>
        <w:t>智慧课程</w:t>
      </w:r>
      <w:r>
        <w:rPr>
          <w:rFonts w:hint="eastAsia" w:ascii="宋体" w:hAnsi="宋体" w:eastAsia="宋体" w:cs="宋体"/>
          <w:b/>
          <w:bCs w:val="0"/>
          <w:kern w:val="2"/>
          <w:sz w:val="24"/>
          <w:szCs w:val="24"/>
          <w:lang w:val="en-US" w:eastAsia="zh-CN" w:bidi="ar-SA"/>
        </w:rPr>
        <w:t>建设服务</w:t>
      </w:r>
    </w:p>
    <w:p w14:paraId="4C5D1A0B">
      <w:pPr>
        <w:pStyle w:val="6"/>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1、注册和登录</w:t>
      </w:r>
    </w:p>
    <w:p w14:paraId="1BE6EE5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平台注册</w:t>
      </w:r>
    </w:p>
    <w:p w14:paraId="262AB64D">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平台支持用户自行注册账号，注册时需满足用户名和手机号的唯一性。</w:t>
      </w:r>
    </w:p>
    <w:p w14:paraId="09BCDB5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平台登录</w:t>
      </w:r>
    </w:p>
    <w:p w14:paraId="3313779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平台支持多种登录方式，包括账号密码登录、手机验证码登录、微信登录。</w:t>
      </w:r>
    </w:p>
    <w:p w14:paraId="352A6A0E">
      <w:pPr>
        <w:pStyle w:val="6"/>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2、教师建课空间</w:t>
      </w:r>
    </w:p>
    <w:p w14:paraId="42B8CF8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创建课程</w:t>
      </w:r>
    </w:p>
    <w:p w14:paraId="47E97E2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主持教师创建课程，课程信息包括课程名称、课程编码、课程分类及专业层次。</w:t>
      </w:r>
    </w:p>
    <w:p w14:paraId="052A140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新增课期</w:t>
      </w:r>
    </w:p>
    <w:p w14:paraId="1A575B0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平台支持MOOC课期和SPOC课期两种课期类型，多方位满足教师的开课需求。</w:t>
      </w:r>
    </w:p>
    <w:p w14:paraId="0B782630">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1）MOOC课期支持选择AI优课和常规MOOC两种类型，主持教师可通过新建完善课程内容，也可通过复制往期完成开课；</w:t>
      </w:r>
    </w:p>
    <w:p w14:paraId="7FB45DAD">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2）支持新增SPOC课期，可选择任意已上线的课期进行新增，支持同步的信息包括教师团队、教学内容、课程题库、作业考试、智能体和知识图谱；支持在</w:t>
      </w:r>
      <w:r>
        <w:rPr>
          <w:rFonts w:hint="eastAsia" w:ascii="宋体" w:hAnsi="宋体" w:eastAsia="宋体" w:cs="宋体"/>
          <w:sz w:val="24"/>
          <w:szCs w:val="24"/>
          <w:highlight w:val="none"/>
          <w:lang w:eastAsia="zh-CN"/>
        </w:rPr>
        <w:t>SPOC</w:t>
      </w:r>
      <w:r>
        <w:rPr>
          <w:rFonts w:hint="eastAsia" w:ascii="宋体" w:hAnsi="宋体" w:eastAsia="宋体" w:cs="宋体"/>
          <w:sz w:val="24"/>
          <w:szCs w:val="24"/>
          <w:highlight w:val="none"/>
        </w:rPr>
        <w:t>平台创建校内专属课程班级，也支持将MOOC课程的选课数据同步至</w:t>
      </w:r>
      <w:r>
        <w:rPr>
          <w:rFonts w:hint="eastAsia" w:ascii="宋体" w:hAnsi="宋体" w:eastAsia="宋体" w:cs="宋体"/>
          <w:sz w:val="24"/>
          <w:szCs w:val="24"/>
          <w:highlight w:val="none"/>
          <w:lang w:eastAsia="zh-CN"/>
        </w:rPr>
        <w:t>SPOC</w:t>
      </w:r>
      <w:r>
        <w:rPr>
          <w:rFonts w:hint="eastAsia" w:ascii="宋体" w:hAnsi="宋体" w:eastAsia="宋体" w:cs="宋体"/>
          <w:sz w:val="24"/>
          <w:szCs w:val="24"/>
          <w:highlight w:val="none"/>
        </w:rPr>
        <w:t>平台；</w:t>
      </w:r>
    </w:p>
    <w:p w14:paraId="20270574">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3）支持一键进入</w:t>
      </w:r>
      <w:r>
        <w:rPr>
          <w:rFonts w:hint="eastAsia" w:ascii="宋体" w:hAnsi="宋体" w:eastAsia="宋体" w:cs="宋体"/>
          <w:sz w:val="24"/>
          <w:szCs w:val="24"/>
          <w:highlight w:val="none"/>
          <w:lang w:eastAsia="zh-CN"/>
        </w:rPr>
        <w:t>SPOC</w:t>
      </w:r>
      <w:r>
        <w:rPr>
          <w:rFonts w:hint="eastAsia" w:ascii="宋体" w:hAnsi="宋体" w:eastAsia="宋体" w:cs="宋体"/>
          <w:sz w:val="24"/>
          <w:szCs w:val="24"/>
          <w:highlight w:val="none"/>
        </w:rPr>
        <w:t>课程页面和班级页面，高效管理SPOC课程及班级；</w:t>
      </w:r>
    </w:p>
    <w:p w14:paraId="216FC8E8">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4）支持SPOC教学数据汇总回流至MOOC平台，方便教师统一管理。</w:t>
      </w:r>
    </w:p>
    <w:p w14:paraId="27B47C23">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5）支持上传或替换课程概述视频，仅支持MP4格式，上传不受课程状态影响。</w:t>
      </w:r>
    </w:p>
    <w:p w14:paraId="3C80751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6）支持查看课程链接和课程二维码，可将其分享给学习者以添加课程进行学习。</w:t>
      </w:r>
    </w:p>
    <w:p w14:paraId="26054E7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学习设置</w:t>
      </w:r>
    </w:p>
    <w:p w14:paraId="4905B4B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支持播放器防拖拽功能，关闭时进度条可自由拖动；开启后进度条不能拖动到未观看部分，已观看部分可自由拖拽。</w:t>
      </w:r>
    </w:p>
    <w:p w14:paraId="6AE52FF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课程简述</w:t>
      </w:r>
    </w:p>
    <w:p w14:paraId="6BD71870">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1）成果统计支持查看课程基本信息、教学安排、师资力量及双师型教师数量；</w:t>
      </w:r>
    </w:p>
    <w:p w14:paraId="457CD38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2）支持知识图谱和专项图谱分析，知识图谱展示资源、知识关系、技能点、节点的数量；专项图谱展示岗赛证对应技能点数、节点数和资源数；支持查看图谱建设分析数据，包括知识图谱数据和专项图谱数据；</w:t>
      </w:r>
    </w:p>
    <w:p w14:paraId="759AC06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3）教学资源统计展示区支持展示资源总数、视频总时长、视频平均时长、各类教学资源数量、教学活动数量；</w:t>
      </w:r>
    </w:p>
    <w:p w14:paraId="2E18ECF8">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4）教学团队支持展示团队成员的姓名、用户名、职称、所属单位等信息；支持教学团队成员修改简介等个人信息；</w:t>
      </w:r>
    </w:p>
    <w:p w14:paraId="2B1FB23B">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5）课程简介可查看简介内容、教材、课程及证书内容；</w:t>
      </w:r>
    </w:p>
    <w:p w14:paraId="27A96FE5">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6）教学计划可根据教学内容设置学时。</w:t>
      </w:r>
    </w:p>
    <w:p w14:paraId="103ACD78">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教学内容管理</w:t>
      </w:r>
    </w:p>
    <w:p w14:paraId="1E4D59CA">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1）支持对课程信息再次编辑，包括课程封面、介绍视频、简介、关键词、教材等其他信息；</w:t>
      </w:r>
    </w:p>
    <w:p w14:paraId="1B51FABD">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2）支持对章、节、讲名称进行编辑，并可排序、删除等操作，可在课程设计中添加作业、测验、考试、资源和图文；资源可从本地、资源管理中心和专业群资源库添加；</w:t>
      </w:r>
    </w:p>
    <w:p w14:paraId="21ACC1FE">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3）支持从本人开设的</w:t>
      </w:r>
      <w:r>
        <w:rPr>
          <w:rFonts w:hint="eastAsia" w:ascii="宋体" w:hAnsi="宋体" w:eastAsia="宋体" w:cs="宋体"/>
          <w:sz w:val="24"/>
          <w:szCs w:val="24"/>
          <w:highlight w:val="none"/>
          <w:lang w:eastAsia="zh-CN"/>
        </w:rPr>
        <w:t>SPOC</w:t>
      </w:r>
      <w:r>
        <w:rPr>
          <w:rFonts w:hint="eastAsia" w:ascii="宋体" w:hAnsi="宋体" w:eastAsia="宋体" w:cs="宋体"/>
          <w:sz w:val="24"/>
          <w:szCs w:val="24"/>
          <w:highlight w:val="none"/>
        </w:rPr>
        <w:t>和资源库课程导入目录，完成课程设计；</w:t>
      </w:r>
    </w:p>
    <w:p w14:paraId="0E1F68B8">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4）支持设置课程目录样式；</w:t>
      </w:r>
    </w:p>
    <w:p w14:paraId="6BDFF28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5）支持查看当前课程下资源数量；</w:t>
      </w:r>
    </w:p>
    <w:p w14:paraId="15A5E43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6）支持在课程设计中标记资源属性；对于视频资源，支持在视频中插入单选、多选、判断题目，实现边看边练，并可查看插入记录和学生作答数据。</w:t>
      </w:r>
    </w:p>
    <w:p w14:paraId="3BCE61C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课程教学</w:t>
      </w:r>
    </w:p>
    <w:p w14:paraId="1FEF6D1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1）课程公告管理，支持公告展示、添加、编辑、删除等操作；</w:t>
      </w:r>
    </w:p>
    <w:p w14:paraId="5AED700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2）主题讨论，支持创建讨论、排序、设置讨论时间，可对讨论设置精华、置顶、回复、点赞等操作；支持AI智评功能，可自动生成评论内容供教师参考后发布；支持批量设置讨论的开始和结束时间；</w:t>
      </w:r>
    </w:p>
    <w:p w14:paraId="5394D783">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3）课程答疑，支持针对学生答疑进行回复与解答，支持教师自主回答或AI回答；对学生的回复也支持AI回复功能；可对学生的回答进行删除；</w:t>
      </w:r>
    </w:p>
    <w:p w14:paraId="76A3443B">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4）课程笔记，支持通过筛选章节查询学生的笔记内容，教师可查看笔记记录学生、记录时间及来源位置，可对内容点赞；支持查看学生共享的笔记内容；</w:t>
      </w:r>
    </w:p>
    <w:p w14:paraId="38C7FC3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5）课程评价，支持教师对课程评价内容进行查看和删除；</w:t>
      </w:r>
    </w:p>
    <w:p w14:paraId="2E83466A">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6）教学团队支持对全部教学成员进行管理，可选择成员是否对作业、测验、考试、公告进行管理；</w:t>
      </w:r>
    </w:p>
    <w:p w14:paraId="213CED84">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7）支持通过学校/单位、选课时间、姓名/学号查询学生的详细信息，并支持导出；</w:t>
      </w:r>
    </w:p>
    <w:p w14:paraId="3174FAE3">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8）开课结束后，支持教师根据设定的考核标准认定学生成绩；支持手动修改学生成绩，可更新最新的学生成绩；选择实时成绩，填写成绩范围可进行数据筛选；支持导出学生成绩数据；</w:t>
      </w:r>
    </w:p>
    <w:p w14:paraId="74426912">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9）支持查看学生申请证书的情况。</w:t>
      </w:r>
    </w:p>
    <w:p w14:paraId="2943E7C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考核与证书</w:t>
      </w:r>
    </w:p>
    <w:p w14:paraId="78F706F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1）支持拖拽成绩区间按钮，设置不合格、合格、优秀三级的成绩区间范围；</w:t>
      </w:r>
    </w:p>
    <w:p w14:paraId="097CF1D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2）支持设置各项内容成绩计算占比，考试、在线作业、测验以及主题讨论可配置项明细；</w:t>
      </w:r>
    </w:p>
    <w:p w14:paraId="6C9E1DE5">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3）支持设置分数，分数达到要求的学生可申请证书，支持自定义证书学校LOGO。</w:t>
      </w:r>
    </w:p>
    <w:p w14:paraId="61F31E05">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题库管理</w:t>
      </w:r>
    </w:p>
    <w:p w14:paraId="68C9D8B2">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1）支持题目信息查看、删除，支持编辑题目的题干、选项、解析、知识点和难易程度；</w:t>
      </w:r>
    </w:p>
    <w:p w14:paraId="4A2F36CF">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2）支持题目同步到试卷；</w:t>
      </w:r>
    </w:p>
    <w:p w14:paraId="277565B5">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3）支持通过关键词查询题目信息；</w:t>
      </w:r>
    </w:p>
    <w:p w14:paraId="3D518C70">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4）支持通过题目来源、题目类型、难易程度对题库进行筛选；</w:t>
      </w:r>
    </w:p>
    <w:p w14:paraId="4B7B8C0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5）支持从课程原始平台的其他课期导入题目；也支持通过Excel和Word模板导入题目；题库页面同时提供AI出题和AI识别录入入口，方便教师快速生成和录入题目；</w:t>
      </w:r>
    </w:p>
    <w:p w14:paraId="2D4EBB43">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6）支持题目查重，可查看重复题目的题干、题型、重复数量，可删除重复题目；</w:t>
      </w:r>
    </w:p>
    <w:p w14:paraId="0DA044DC">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7）支持批量删除题目、批量设置题目难度、批量设置知识点，可对选中的题目或全部题目进行Excel导出。</w:t>
      </w:r>
    </w:p>
    <w:p w14:paraId="44120133">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作业</w:t>
      </w:r>
    </w:p>
    <w:p w14:paraId="6A5D5045">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1）在线作业，支持从题库中选择题目或通过知识点随机出题，支持设置答题时长、答题次数、完成时间、最短交卷时间、答案公布时间、成绩公布时间等；</w:t>
      </w:r>
    </w:p>
    <w:p w14:paraId="6C3B82FE">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2）附件作业，需要学生通过上传附件的方式提交作业，支持设置答题时长、答题次数、完成时间、答案公布时间、成绩公布时间等，教师可通过上传附件的方式布置作业及公布参考答案；</w:t>
      </w:r>
    </w:p>
    <w:p w14:paraId="1A24E98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3）支持预览、编辑、删除和查看作业，支持对作业进行分析，可从数据分析、成绩分析、试卷分析三个维度进行查看；</w:t>
      </w:r>
    </w:p>
    <w:p w14:paraId="3F26186F">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4）支持批量设置作业、测验、考试的开始时间和结束时间；</w:t>
      </w:r>
    </w:p>
    <w:p w14:paraId="5564912D">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5）支持查看已批、未批、未交的学生，并可导出学生名单，已批支持查看学生作答详情、退回重做和重新批阅；未批支持批阅、退回重做；未交支持群发提醒；</w:t>
      </w:r>
    </w:p>
    <w:p w14:paraId="7F8833A2">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6）支持客观题系统自动批阅，</w:t>
      </w:r>
      <w:r>
        <w:rPr>
          <w:rFonts w:hint="eastAsia" w:ascii="宋体" w:hAnsi="宋体" w:eastAsia="宋体" w:cs="宋体"/>
          <w:sz w:val="24"/>
          <w:szCs w:val="24"/>
          <w:highlight w:val="none"/>
          <w:lang w:val="en-US" w:eastAsia="zh-CN"/>
        </w:rPr>
        <w:t>问答题</w:t>
      </w:r>
      <w:r>
        <w:rPr>
          <w:rFonts w:hint="eastAsia" w:ascii="宋体" w:hAnsi="宋体" w:eastAsia="宋体" w:cs="宋体"/>
          <w:sz w:val="24"/>
          <w:szCs w:val="24"/>
          <w:highlight w:val="none"/>
        </w:rPr>
        <w:t>支持AI智能批阅；支持对未批学生试卷进行批量批阅，可统一打分或按各题型批量打分。</w:t>
      </w:r>
    </w:p>
    <w:p w14:paraId="5FA3311D">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考试与测验</w:t>
      </w:r>
    </w:p>
    <w:p w14:paraId="5BF004E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考试、测验与在线作业基本相同。</w:t>
      </w:r>
    </w:p>
    <w:p w14:paraId="00598658">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课程下线</w:t>
      </w:r>
    </w:p>
    <w:p w14:paraId="0AA2D1E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支持最新一期进行中或未开始的课程申请下线，教师提交下线申请并上传签字扫描件后，经学校代理人或系统管理员审核通过后课程下线；课程下线后修改内容需重新提交智能审核和人工审核。</w:t>
      </w:r>
    </w:p>
    <w:p w14:paraId="22C78D2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统计分析</w:t>
      </w:r>
    </w:p>
    <w:p w14:paraId="1DE0E52A">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1）数据统计，支持展示和分析当前MOOC数据和全部课程相关数据，包括累计选课人数、学员所属单位、累计互动次数、累计日志总数、教学资源统计、教学活动统计等，并根据课程内容变化实时更新；</w:t>
      </w:r>
    </w:p>
    <w:p w14:paraId="76755EA8">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2）教学大屏，支持查看考评数量、公告数量、学习进度、成绩趋势及考评完成度；支持按周查看问答数量、主题活跃度、学习趋势及观看视频时长。</w:t>
      </w:r>
    </w:p>
    <w:p w14:paraId="4FD0A85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支持展示MOOC资源空间，展示资源类型数和资源总数，为每位教师提供不少于100GB的资源管理空间，并支持对资源进行预览、下载、删除、分享等操作。</w:t>
      </w:r>
    </w:p>
    <w:p w14:paraId="01725D44">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支持主页展示题库中题目类型数和原创题目总数。</w:t>
      </w:r>
    </w:p>
    <w:p w14:paraId="5AAE6115">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消息通知，支持查看发送的信息及收到的信息。</w:t>
      </w:r>
    </w:p>
    <w:p w14:paraId="7EE6E9C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16</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支持教师查看收藏的课程和收藏的资源等内容。</w:t>
      </w:r>
    </w:p>
    <w:p w14:paraId="0FFA4413">
      <w:pPr>
        <w:pStyle w:val="6"/>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3、AI教学中控台</w:t>
      </w:r>
    </w:p>
    <w:p w14:paraId="035C2DA5">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AI助教模块</w:t>
      </w:r>
    </w:p>
    <w:p w14:paraId="14D86DA5">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学情数据分析，支持展示学习进度、学习成果及待批改提醒。学习进度根据学生学习平均进度百分比给出教师相关结论提示；学习雷达根据学生分数（最高分、平均分、最低分）给出教师结论提示；批改提醒可统计该课程待批改作业（附件作业和在线作业）、小测验和考试的数量，提供教师快捷批改入口；</w:t>
      </w:r>
    </w:p>
    <w:p w14:paraId="7EC7FA91">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2）联网搜索，通过互联网实时检索最新信息，支持按问题关键词为用户提供实时、动态的相关数据；</w:t>
      </w:r>
    </w:p>
    <w:p w14:paraId="46FE0F51">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3）AI工具箱，为教师提供建、教、评三个环节的相关AI工具入口，包括AI出题、AI识别录入、AI生成脑图、AI生成PPT、AI文档问答、AI互联网搜索、AI批阅、AI教学报告等智能工具；</w:t>
      </w:r>
    </w:p>
    <w:p w14:paraId="05D8F89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常见指令，为教师在课程制作中、开课进行中、开课结束后三个建课环节提供相关常见指令，包括但不限于：导入课程资源、题目查重、查看学习进度滞后学生名单、给学习进度＜30%的同学发送学习预警提示、发讨论话题、回复讨论区提问、分析某章掌握情况、查看学生学习"岗赛证"图谱的完成度、确认学生成绩、查看课程AI教学报告等指令。</w:t>
      </w:r>
    </w:p>
    <w:p w14:paraId="67EA55A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AI学伴模块</w:t>
      </w:r>
    </w:p>
    <w:p w14:paraId="78A480F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1）配置AI学习助手</w:t>
      </w:r>
    </w:p>
    <w:p w14:paraId="1E9570F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问答技能设置：支持生成学习助手形象，也可从本地上传学习助手形象或使用默认形象；支持设置开场白，可AI生成开场白，也可输入关键词通过智能体助手生成开场白。支持设置开场引导问题，可选择热门问题或AI生成或手动新增开场引导问题；支持开启推荐互联网资源（学习助手将在需要时自动搜索最新的全网信息，给到学生更实时、更丰富的回答）、关联知识图谱（结合知识图谱中的实体关系，为学生提供更全面的答案）、启发延伸问题设置技能（当提问缺少信息时，系统会主动询问细节，帮助用户更快获得准确答案）；支持设置智能体回答的安全性和语气，可根据答案生成的随机性选择精准模式、平衡模式、创意模式，也可自定义生成的随机性；支持设置上下文携带轮数及最大回复长度；支持挂载链接以及提示词设置。</w:t>
      </w:r>
    </w:p>
    <w:p w14:paraId="49840716">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教学风格设置：支持教师根据课程教学需求设置以下其中一种教学风格，即问题引导式教学模式、掌握式教学模式、沉浸式教学模式、发现式教学模式、程序型教学模式。</w:t>
      </w:r>
    </w:p>
    <w:p w14:paraId="510AA5D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知识库配置：设置AI学习助手可使用的知识范围，支持从本地上传、从课程资源中选择或从个人资源空间中选择音视频、文档、PPT等类型资源丰富知识库；上传的知识库资源由智能体管理员和语料审核人员进行审核；支持预览配置的知识库资源；也支持删除已配置知识库资源。</w:t>
      </w:r>
    </w:p>
    <w:p w14:paraId="67EBE3F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问答对配置：规定特定问题下AI学习助手的回答内容，除手动录入外，还支持Excel导入和题库一键拉入转换为问答对；配置的问答对由智能体管理员和语料审核人员进行审核；支持查看和编辑配置的问答对；也支持删除已配置的问答对。</w:t>
      </w:r>
    </w:p>
    <w:p w14:paraId="3CCA18DE">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2）问题校准及问答记录</w:t>
      </w:r>
    </w:p>
    <w:p w14:paraId="444389F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支持对学生提出问题的智能回复答案进行校准，可查看全部问答和待校准问答；支持查看学生问答记录，问答记录表记录学生姓名、学校、对话数量、问答总数量和最近问答时间；支持查看某个学生问答的具体详情。</w:t>
      </w:r>
    </w:p>
    <w:p w14:paraId="3430AA0C">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3）人员配置</w:t>
      </w:r>
    </w:p>
    <w:p w14:paraId="2614AD45">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课程负责人可配置智能体管理员、语料上传人员、语料审核人员，配置的相关人员各司其职，负责管理智能体、上传语料和审核语料。</w:t>
      </w:r>
    </w:p>
    <w:p w14:paraId="13CC0AC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知识图谱</w:t>
      </w:r>
    </w:p>
    <w:p w14:paraId="78911598">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汇聚展示该课程下的知识点、技能点、岗位、比赛、证书、课程薄弱知识点图谱及个性化图谱，为教师汇聚呈现图谱建设成果。</w:t>
      </w:r>
    </w:p>
    <w:p w14:paraId="5658A950">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知识点图谱。支持以图谱形式呈现课程完整内容结构（课程、一级、二级、三级节点），涵盖各节点下的资源、作业、测验、考试数据，上级节点自动汇聚下级节点数据；支持进入编辑模式，查看并学习每个节点下包含的资源、作业、测验及考试内容；支持编辑图谱节点信息，包括节点名称、节点描述（支持AI生成）、节点目标（支持AI生成）、节点属性及岗赛证关联等；支持节点间添加并列、先后、因果、对比等关系。</w:t>
      </w:r>
    </w:p>
    <w:p w14:paraId="4EC3D59B">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2）技能点图谱。支持根据知识图谱节点属性自动筛选生成技能点图谱；支持查看技能点描述以及关联的资源、作业、考试和测验。</w:t>
      </w:r>
    </w:p>
    <w:p w14:paraId="3C55FC50">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岗位图谱。支持以图谱形式直观呈现课程各节点与岗位的关联关系；图谱展示信息包括：岗位名称、工作领域、工作任务、技能描述、三级节点名称、二级节点名称、一级节点名称、课程名称；支持点击岗位节点高亮显示其关联节点及连接线条，连接线条支持显示与隐藏切换。</w:t>
      </w:r>
    </w:p>
    <w:p w14:paraId="7C3DA074">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比赛图谱。支持以图谱形式直观呈现课程各节点与比赛及赛项的关联关系；图谱展示信息包括：比赛名称、赛项名称、赛点名称、三级节点名称、二级节点名称、一级节点名称、课程名称；支持点击比赛或其他节点高亮显示关联信息及连接线条，连接线条支持显示与隐藏切换。</w:t>
      </w:r>
    </w:p>
    <w:p w14:paraId="45077828">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证书图谱。支持以图谱形式直观呈现课程各节点与证书的关联关系；图谱展示信息包括：证书名称、考点名称、三级节点名称、二级节点名称、一级节点名称、课程名称；支持点击证书或其他节点高亮显示关联信息及连接线条，连接线条支持显示与隐藏切换。</w:t>
      </w:r>
    </w:p>
    <w:p w14:paraId="352F1B52">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6）课程薄弱知识点图谱。支持以图谱形式呈现各级节点（一级、二级、三级）下资源、作业、测验、考试的整体掌握情况，并显示掌握程度、学习进度及测评得分率。</w:t>
      </w:r>
    </w:p>
    <w:p w14:paraId="47C14CE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7）个性化图谱。支持教师创建自定义个性化图谱，可编辑图谱名称、层级名称及描述；支持在各层级下添加节点并关联知识技能树中的知识点；支持通过Excel模板批量导入和导出图谱节点数据；支持预览图谱内容；支持设置是否在教师端和学生端展示个性化图谱。</w:t>
      </w:r>
    </w:p>
    <w:p w14:paraId="1A42D27D">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8）协作信息管理。支持课程图谱的协作分配，创建者可将图谱节点分配给教学团队成员进行协作编辑；支持协作者提交编辑成果，由创建者进行审核（通过或不通过）；支持撤销已分配或已提交的协作任务。</w:t>
      </w:r>
    </w:p>
    <w:p w14:paraId="484478E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AI工具箱</w:t>
      </w:r>
    </w:p>
    <w:p w14:paraId="03D3AE88">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1）AI出题。支持根据知识点、题型、题目数量、难度等条件智能生成题目，支持将生成的题目一键加入课程题库，适配不同学习层次，丰富练习资源。</w:t>
      </w:r>
    </w:p>
    <w:p w14:paraId="66B757E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2）AI试题识别录入。支持教师手动输入或粘贴题目内容，系统自动识别并转化为标准格式后录入课程题库，简化试题录入流程。</w:t>
      </w:r>
    </w:p>
    <w:p w14:paraId="5D59644E">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3）AI生成脑图。支持拖拽或选择本地PDF、Word文件，也支持从个人资源空间中选择文件，依据文档内容智能生成脑图，清晰呈现知识框架；支持查看近10次生成记录。</w:t>
      </w:r>
    </w:p>
    <w:p w14:paraId="0F0ABB58">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AI生成PPT。支持选择PPT模板，提供AI智能生成和导入本地大纲两种生成方式；支持选择AI模型和是否联网搜索；支持设置页数、受众、场景、语气、语言等参数；生成的大纲支持在线编辑；一键生成教学PPT，搭配丰富模板，高效完成课件制作；生成的PPT支持在线编辑和下载。</w:t>
      </w:r>
    </w:p>
    <w:p w14:paraId="6822A5C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5）AI文档问答。支持上传PDF或Word格式文档，基于文档内容进行智能问答对话；对不满意的回答支持反馈后重新生成；支持查看一个月内的历史问答记录。</w:t>
      </w:r>
    </w:p>
    <w:p w14:paraId="4790FA7B">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6）AI互联网搜索。支持根据课程内容智能推荐相关资源，也支持输入关键词精准检索互联网教学资源及前沿资讯，为教师拓宽备课素材渠道。</w:t>
      </w:r>
    </w:p>
    <w:p w14:paraId="6C4563D9">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7）AI批阅。依托大模型与智能体技术，结合评分标准深入分析答案内容，支持对作业与考试进行智能批改，自动打分并生成智能批语；支持教师对智能批阅结果进行反馈以持续优化生成质量；支持教师手动输入或修改评语。</w:t>
      </w:r>
    </w:p>
    <w:p w14:paraId="5F21E6E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8）AI教学报告。针对课程中产生的教学行为过程数据，仅结课课程可申请，报告可在课程结束后次日查看；提供课程教学报告，在基础教学数据的基础上推出更为新颖的评价指标和维度；支持对课程进行智能评价，从学习进度、资源量、成绩分布、智能体建设情况等维度进行总结性评价；教学详情模块支持展示课程参与度、教学设计与内容、智能体建设及应用、知识图谱建设及应用和教学成果的详细数据；支持提供课程建设参考，进一步提升课程的教学质量和学生的学习体验。</w:t>
      </w:r>
    </w:p>
    <w:p w14:paraId="1CD0A533">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9）AI题目解析。支持为学生提供试卷错题的智能解析，当学生在学习过程中遇到无解析的错题时，系统可智能分析错因并推荐相关知识点资源。</w:t>
      </w:r>
    </w:p>
    <w:p w14:paraId="68123823">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10）AI视频理解。支持对课程视频资源提供以下智能功能：</w:t>
      </w:r>
    </w:p>
    <w:p w14:paraId="15C909F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视频速览：基于多模态技术对视频进行智能切片，梳理视频知识点，支持点击知识点跳转至对应视频片段；</w:t>
      </w:r>
    </w:p>
    <w:p w14:paraId="2D904F96">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视频总结：基于视频内容自动提取生成视频概要；</w:t>
      </w:r>
    </w:p>
    <w:p w14:paraId="459E26E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字幕生成及实时翻译：自动生成视频字幕，支持中英双语显示；</w:t>
      </w:r>
    </w:p>
    <w:p w14:paraId="4FC5CD34">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热词解析：自动生成热词词云，支持点击词云发起基于该词的智能对话；</w:t>
      </w:r>
    </w:p>
    <w:p w14:paraId="5429301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视频笔记：支持学生根据视频内容记录学习笔记。</w:t>
      </w:r>
    </w:p>
    <w:p w14:paraId="19EE33D8">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11）AI课程学习报告。支持智能生成学习评价，说明学生的学习情况；支持展示学生的学习详情，包括学习参与度（学习次数、学习资源总数、参与讨论次数、智能体工具调用次数）、基础数据情况（登录情况、资源学习情况、作测考完成情况、参与讨论情况）、智能工具使用数据（解析错题数、解析视频数、与智能体对话数）、知识图谱使用数据、学习成果数据（个人总成绩、作业平均分、测验平均分、考试平均分、完成题目总数）等；支持从多个维度智能生成学习建议，帮助学生养成良好的学习习惯，提升学习内驱力。</w:t>
      </w:r>
    </w:p>
    <w:p w14:paraId="6A22A52D">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12）AI生成讲义。支持依据教学内容自动生成结构清晰的讲义，提供多种讲义模板（模块任务式、知识讲授式、情景案例式）；支持预览和编辑生成的讲义内容，编辑功能包括文字输入、标题插入、文件导入、字体与段落格式设置等。</w:t>
      </w:r>
    </w:p>
    <w:p w14:paraId="53C7B888">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AI监控室</w:t>
      </w:r>
    </w:p>
    <w:p w14:paraId="5A6AAFC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支持按今日、本月、本学期或自定义时间段查看课程相关AI数据情况。</w:t>
      </w:r>
    </w:p>
    <w:p w14:paraId="24192F63">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AI学伴数据。支持查看模型使用频次、语料数及问答对数；支持查看推荐内容数据，包括推荐资源数、推荐关联问题数、推荐图谱数；支持查看多样化应用数据，包括文档解析数、拍照解题数、图片生成数、文本翻译数；支持查看AI学习助手的用户满意度及调优记录；支持查看提问时间分布，按各时间节点统计提问数量；支持查看热门问题排行榜。</w:t>
      </w:r>
    </w:p>
    <w:p w14:paraId="7E7AE8F9">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数据概览。支持查看AI学习助手核心指标，包括访问次数、访问用户数、问答总数；支持查看AI工具使用情况，包括访问次数及访问用户数；支持查看知识图谱运营数据，包括访问次数、访问用户数及学习节点总数。</w:t>
      </w:r>
    </w:p>
    <w:p w14:paraId="699DE7B2">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图谱数据。支持查看图谱内容丰富度，包括知识点数、技能点数、知识点关系数、关联比赛数、关联证书数、关联资源个数、关联作业个数、关联测验个数、关联考试个数；支持查看图谱内容学习情况，包括学习节点次数、学习资源次数、完成作业次数、完成测验次数、完成考试次数。</w:t>
      </w:r>
    </w:p>
    <w:p w14:paraId="1AB817B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4）AI工具应用数据。支持查看各AI工具的详细应用数据，包括点击量、AI生成量及实际应用量等。</w:t>
      </w:r>
    </w:p>
    <w:p w14:paraId="5996F2C3">
      <w:pPr>
        <w:pStyle w:val="6"/>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4、个性化学习空间</w:t>
      </w:r>
    </w:p>
    <w:p w14:paraId="7C8102A7">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课程学习</w:t>
      </w:r>
    </w:p>
    <w:p w14:paraId="0722BC80">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1）内容学习，支持学习课程资源内容，包括视频、图片、文档、富媒体、音频等课程资源的在线学习，并记录学习过程数据；</w:t>
      </w:r>
    </w:p>
    <w:p w14:paraId="0DB4A3CC">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2）课程公告查看，支持展示并可查看教师发布的课程公告；</w:t>
      </w:r>
    </w:p>
    <w:p w14:paraId="0714FD58">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3）作业、测验、考试，支持学生进行课程中的作业、测验、考试等活动作答，实现在线完成答题、提交、查看等功能；</w:t>
      </w:r>
    </w:p>
    <w:p w14:paraId="1AFD5F2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4）个人成绩，支持查看成绩展示模块，包括综合成绩、分项得分、得分占比情况、参与度得分、各分项得分分布等内容；</w:t>
      </w:r>
    </w:p>
    <w:p w14:paraId="4C042581">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5）主题讨论，支持学生参与主题讨论，包括参与讨论、回复、点赞等功能；</w:t>
      </w:r>
    </w:p>
    <w:p w14:paraId="796263EC">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6）课程答疑，支持学生在答疑区发起问题，教师可对问题进行解答；</w:t>
      </w:r>
    </w:p>
    <w:p w14:paraId="7C7DC709">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7）课程笔记，支持学生学习时创建课程笔记，支持共享笔记。</w:t>
      </w:r>
    </w:p>
    <w:p w14:paraId="6F387D98">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8）课程评价，支持学生对课程进行星级评价和文字评价。</w:t>
      </w:r>
    </w:p>
    <w:p w14:paraId="3776BA9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消息通知</w:t>
      </w:r>
    </w:p>
    <w:p w14:paraId="081AE62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支持学生查看发送的信息及收到的信息，并可进行回复。</w:t>
      </w:r>
    </w:p>
    <w:p w14:paraId="5D659D3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收藏夹</w:t>
      </w:r>
    </w:p>
    <w:p w14:paraId="1235C5A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支持学生查看收藏的课程和收藏的资源等内容。</w:t>
      </w:r>
    </w:p>
    <w:p w14:paraId="7C660C6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学习计划</w:t>
      </w:r>
    </w:p>
    <w:p w14:paraId="604B334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支持学生制定学习计划，系统根据学生制定的学习计划进行消息提示与督促，实时更新展示学习计划的完成程度。</w:t>
      </w:r>
    </w:p>
    <w:p w14:paraId="1C49B0E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我的证书</w:t>
      </w:r>
    </w:p>
    <w:p w14:paraId="7024595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支持申请已学习通过的课程证书，展示课程证书、下载课程证书。</w:t>
      </w:r>
    </w:p>
    <w:p w14:paraId="17D73E8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AI学习助手</w:t>
      </w:r>
    </w:p>
    <w:p w14:paraId="7EEB521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1）课程学习，配套展示在对应课程学习的页面，支持学生随时调用，进行基于课程内容学习的过程性问答；</w:t>
      </w:r>
    </w:p>
    <w:p w14:paraId="6FA336EB">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2）答疑解惑，支持学生输入问题，AI学习助手给出智能回答；</w:t>
      </w:r>
    </w:p>
    <w:p w14:paraId="0C79438E">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3）支持学生通过以图片的形式上传题目，学习助手给出智能解析；</w:t>
      </w:r>
    </w:p>
    <w:p w14:paraId="44F2AC8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4）支持文档的总结与归纳；</w:t>
      </w:r>
    </w:p>
    <w:p w14:paraId="072E46AA">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5）点译通，支持将其他语言翻译成中文；</w:t>
      </w:r>
    </w:p>
    <w:p w14:paraId="3C1F1B2A">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6）支持学生输入要求，自动生成图片。</w:t>
      </w:r>
    </w:p>
    <w:p w14:paraId="7CEE2876">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7）AI错题解析，支持学生查看作业、测验、考试中的错题，系统智能分析错因并提供详细解析，帮助学生针对性地巩固薄弱知识点。</w:t>
      </w:r>
    </w:p>
    <w:p w14:paraId="75594DC3">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课程图谱</w:t>
      </w:r>
    </w:p>
    <w:p w14:paraId="348DBCC8">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以自由分布和有序呈现两种方式展示课程结构，主要用于辅助用户以图谱化的形式学习课程，直观查看节点之间的层级关系。课程图谱包含知识点图谱和技能点图谱，支持以图谱形式呈现整体的课程内容，支持用户查看并学习每个节点下包含的资源、作业、测验及考试内容。</w:t>
      </w:r>
    </w:p>
    <w:p w14:paraId="4DE264C3">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学情图谱</w:t>
      </w:r>
    </w:p>
    <w:p w14:paraId="1A35089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以图谱形式展示学生的学习进度、考试分数、薄弱知识点，主要用于学生更加直观地查看个人学习情况。</w:t>
      </w:r>
    </w:p>
    <w:p w14:paraId="6139486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1）进度图谱，支持以图谱形式直观呈现课程、每个节点的学习进度；支持用户查看每个节点下包含的学习资源列表及各资源的学习进度；支持直接点击弹窗中的资源进行学习；</w:t>
      </w:r>
    </w:p>
    <w:p w14:paraId="665CADA4">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2）测评图谱，支持以图谱形式直观呈现课程、每个节点的作业、测验、考试的列表及作答成绩；可进入弹窗中的试卷进行作答；</w:t>
      </w:r>
    </w:p>
    <w:p w14:paraId="550F8223">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3）薄弱知识点图谱，支持以图谱形式直观呈现课程、每个节点的资源、作业、测验、考试的整体掌握程度；支持显示掌握程度、学习进度及测评得分率的相关数据。</w:t>
      </w:r>
    </w:p>
    <w:p w14:paraId="2C772FC3">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职业图谱</w:t>
      </w:r>
    </w:p>
    <w:p w14:paraId="1F228C78">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呈现课程内容与岗赛证之间的关系，主要用于辅助学生根据岗位准备、证书及比赛备考等需求来完成课程学习。</w:t>
      </w:r>
    </w:p>
    <w:p w14:paraId="7D1DBDC0">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1）岗位图谱，支持以图谱形式直观呈现课程、每个节点关联的岗位信息；支持用户查看各个岗位的工作领域、工作任务、技能描述与课程节点的关联关系，支持查看节点设置的岗位、证书等相关信息，支持查看具体资源；</w:t>
      </w:r>
    </w:p>
    <w:p w14:paraId="10BA042A">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2）比赛图谱，支持以图谱形式直观呈现课程、每个节点关联的比赛及赛项信息；支持用户查看各个比赛的赛项、赛点与课程节点的关联关系，支持查看节点设置的岗位、证书等相关信息，支持查看具体资源；</w:t>
      </w:r>
    </w:p>
    <w:p w14:paraId="3F886557">
      <w:pPr>
        <w:spacing w:line="360" w:lineRule="auto"/>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3）证书图谱，支持以图谱形式直观呈现课程、每个节点关联的证书信息；支持用户查看各个证书及证书考点与课程节点的关联关系，支持查看节点设置的岗位、证书等相关信息，支持查看具体资源。</w:t>
      </w:r>
    </w:p>
    <w:p w14:paraId="2EEB76A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学情统计</w:t>
      </w:r>
    </w:p>
    <w:p w14:paraId="14DC300E">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highlight w:val="none"/>
        </w:rPr>
        <w:t>支持查看了解学习过程中各项学习数据的统计情况，包括：成绩、讨论数据、访问数据、学习进度、章节学习次数、学习时长等维度。</w:t>
      </w:r>
    </w:p>
    <w:p w14:paraId="022C1A8A">
      <w:pPr>
        <w:pStyle w:val="5"/>
        <w:numPr>
          <w:ilvl w:val="0"/>
          <w:numId w:val="1"/>
        </w:numPr>
        <w:spacing w:line="360" w:lineRule="auto"/>
        <w:ind w:left="0" w:leftChars="0"/>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药学专业教学资源库门户网站设计开发服务</w:t>
      </w:r>
    </w:p>
    <w:p w14:paraId="6E5AA1FB">
      <w:pPr>
        <w:pStyle w:val="6"/>
        <w:numPr>
          <w:ilvl w:val="3"/>
          <w:numId w:val="0"/>
        </w:numPr>
        <w:spacing w:line="360" w:lineRule="auto"/>
        <w:ind w:leftChars="0"/>
        <w:rPr>
          <w:rFonts w:hint="default" w:ascii="宋体" w:hAnsi="宋体" w:eastAsia="宋体" w:cs="宋体"/>
          <w:b/>
          <w:bCs w:val="0"/>
          <w:kern w:val="2"/>
          <w:sz w:val="24"/>
          <w:szCs w:val="24"/>
          <w:lang w:val="en-US" w:eastAsia="zh-CN" w:bidi="ar-SA"/>
        </w:rPr>
      </w:pPr>
      <w:r>
        <w:rPr>
          <w:rFonts w:hint="default" w:ascii="宋体" w:hAnsi="宋体" w:eastAsia="宋体" w:cs="宋体"/>
          <w:b/>
          <w:bCs w:val="0"/>
          <w:kern w:val="2"/>
          <w:sz w:val="24"/>
          <w:szCs w:val="24"/>
          <w:lang w:val="en-US" w:eastAsia="zh-CN" w:bidi="ar-SA"/>
        </w:rPr>
        <w:t>1、整体风格设计</w:t>
      </w:r>
      <w:r>
        <w:rPr>
          <w:rFonts w:hint="default" w:ascii="宋体" w:hAnsi="宋体" w:eastAsia="宋体" w:cs="宋体"/>
          <w:b/>
          <w:bCs w:val="0"/>
          <w:kern w:val="2"/>
          <w:sz w:val="24"/>
          <w:szCs w:val="24"/>
          <w:lang w:val="en-US" w:eastAsia="zh-CN" w:bidi="ar-SA"/>
        </w:rPr>
        <w:tab/>
      </w:r>
    </w:p>
    <w:p w14:paraId="0FA299C4">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总体要求：网站整体风格设计，符合药学专业特点。</w:t>
      </w:r>
    </w:p>
    <w:p w14:paraId="70E16BFD">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开发技术要求：网站整体运行平台采用提升数据访问速度的优化技术（IDC、Cache、CDN等），保障资源的访问速度和下载效率。</w:t>
      </w:r>
    </w:p>
    <w:p w14:paraId="264B6923">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支持主流浏览器（包括但不限于Google浏览器、360、IE等）（供应商须提供承诺函，格式自拟，并加盖公章）</w:t>
      </w:r>
    </w:p>
    <w:p w14:paraId="7C7C2E34">
      <w:pPr>
        <w:pStyle w:val="6"/>
        <w:numPr>
          <w:ilvl w:val="3"/>
          <w:numId w:val="0"/>
        </w:numPr>
        <w:spacing w:line="360" w:lineRule="auto"/>
        <w:ind w:leftChars="0"/>
        <w:rPr>
          <w:rFonts w:hint="default" w:ascii="宋体" w:hAnsi="宋体" w:eastAsia="宋体" w:cs="宋体"/>
          <w:b/>
          <w:bCs w:val="0"/>
          <w:kern w:val="2"/>
          <w:sz w:val="24"/>
          <w:szCs w:val="24"/>
          <w:lang w:val="en-US" w:eastAsia="zh-CN" w:bidi="ar-SA"/>
        </w:rPr>
      </w:pPr>
      <w:r>
        <w:rPr>
          <w:rFonts w:hint="default" w:ascii="宋体" w:hAnsi="宋体" w:eastAsia="宋体" w:cs="宋体"/>
          <w:b/>
          <w:bCs w:val="0"/>
          <w:kern w:val="2"/>
          <w:sz w:val="24"/>
          <w:szCs w:val="24"/>
          <w:lang w:val="en-US" w:eastAsia="zh-CN" w:bidi="ar-SA"/>
        </w:rPr>
        <w:t>2、首页模块</w:t>
      </w:r>
      <w:r>
        <w:rPr>
          <w:rFonts w:hint="default" w:ascii="宋体" w:hAnsi="宋体" w:eastAsia="宋体" w:cs="宋体"/>
          <w:b/>
          <w:bCs w:val="0"/>
          <w:kern w:val="2"/>
          <w:sz w:val="24"/>
          <w:szCs w:val="24"/>
          <w:lang w:val="en-US" w:eastAsia="zh-CN" w:bidi="ar-SA"/>
        </w:rPr>
        <w:tab/>
      </w:r>
    </w:p>
    <w:p w14:paraId="746E4BCC">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药学专业教学资源库门户首页包含：用户管理（教师用户、学生用户、社会用户、企业用户）、课程中心、微课中心、素材中心、职业培训中心、特色资源、特色创新、资源库介绍、统计信息（课程统计、微课统计、素材统计、用户统计）、专业标准中心（专业介绍、人才培养方案、专业教学标准、课程标准）、特色创新、专业核心课、专业基础课、专业拓展课、典型工作任务、特色资源、援外培训、知识图谱、建设团队。</w:t>
      </w:r>
    </w:p>
    <w:p w14:paraId="6785A1AD">
      <w:pPr>
        <w:pStyle w:val="6"/>
        <w:numPr>
          <w:ilvl w:val="3"/>
          <w:numId w:val="0"/>
        </w:numPr>
        <w:spacing w:line="360" w:lineRule="auto"/>
        <w:ind w:leftChars="0"/>
        <w:rPr>
          <w:rFonts w:hint="default" w:ascii="宋体" w:hAnsi="宋体" w:eastAsia="宋体" w:cs="宋体"/>
          <w:b/>
          <w:bCs w:val="0"/>
          <w:kern w:val="2"/>
          <w:sz w:val="24"/>
          <w:szCs w:val="24"/>
          <w:lang w:val="en-US" w:eastAsia="zh-CN" w:bidi="ar-SA"/>
        </w:rPr>
      </w:pPr>
      <w:r>
        <w:rPr>
          <w:rFonts w:hint="default" w:ascii="宋体" w:hAnsi="宋体" w:eastAsia="宋体" w:cs="宋体"/>
          <w:b/>
          <w:bCs w:val="0"/>
          <w:kern w:val="2"/>
          <w:sz w:val="24"/>
          <w:szCs w:val="24"/>
          <w:lang w:val="en-US" w:eastAsia="zh-CN" w:bidi="ar-SA"/>
        </w:rPr>
        <w:t>3、课程中心</w:t>
      </w:r>
      <w:r>
        <w:rPr>
          <w:rFonts w:hint="default" w:ascii="宋体" w:hAnsi="宋体" w:eastAsia="宋体" w:cs="宋体"/>
          <w:b/>
          <w:bCs w:val="0"/>
          <w:kern w:val="2"/>
          <w:sz w:val="24"/>
          <w:szCs w:val="24"/>
          <w:lang w:val="en-US" w:eastAsia="zh-CN" w:bidi="ar-SA"/>
        </w:rPr>
        <w:tab/>
      </w:r>
    </w:p>
    <w:p w14:paraId="645AFC97">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展示专业基础课、专业核心课、专业拓展课，展示内容包括课程名称，课程封面，主讲教师、教师单位，浏览人数。可以按照课程名称查找课程。</w:t>
      </w:r>
    </w:p>
    <w:p w14:paraId="355D0F32">
      <w:pPr>
        <w:pStyle w:val="6"/>
        <w:numPr>
          <w:ilvl w:val="3"/>
          <w:numId w:val="0"/>
        </w:numPr>
        <w:spacing w:line="360" w:lineRule="auto"/>
        <w:ind w:leftChars="0"/>
        <w:rPr>
          <w:rFonts w:hint="default" w:ascii="宋体" w:hAnsi="宋体" w:eastAsia="宋体" w:cs="宋体"/>
          <w:b/>
          <w:bCs w:val="0"/>
          <w:kern w:val="2"/>
          <w:sz w:val="24"/>
          <w:szCs w:val="24"/>
          <w:lang w:val="en-US" w:eastAsia="zh-CN" w:bidi="ar-SA"/>
        </w:rPr>
      </w:pPr>
      <w:r>
        <w:rPr>
          <w:rFonts w:hint="default" w:ascii="宋体" w:hAnsi="宋体" w:eastAsia="宋体" w:cs="宋体"/>
          <w:b/>
          <w:bCs w:val="0"/>
          <w:kern w:val="2"/>
          <w:sz w:val="24"/>
          <w:szCs w:val="24"/>
          <w:lang w:val="en-US" w:eastAsia="zh-CN" w:bidi="ar-SA"/>
        </w:rPr>
        <w:t>4、微课中心</w:t>
      </w:r>
      <w:r>
        <w:rPr>
          <w:rFonts w:hint="default" w:ascii="宋体" w:hAnsi="宋体" w:eastAsia="宋体" w:cs="宋体"/>
          <w:b/>
          <w:bCs w:val="0"/>
          <w:kern w:val="2"/>
          <w:sz w:val="24"/>
          <w:szCs w:val="24"/>
          <w:lang w:val="en-US" w:eastAsia="zh-CN" w:bidi="ar-SA"/>
        </w:rPr>
        <w:tab/>
      </w:r>
    </w:p>
    <w:p w14:paraId="7FF66F63">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展示所有微课资源,展示内容包括微课名称、微课封面、主讲教师、浏览人数。可以按照课程名称查找课程。</w:t>
      </w:r>
    </w:p>
    <w:p w14:paraId="48646E4B">
      <w:pPr>
        <w:pStyle w:val="6"/>
        <w:numPr>
          <w:ilvl w:val="3"/>
          <w:numId w:val="0"/>
        </w:numPr>
        <w:spacing w:line="360" w:lineRule="auto"/>
        <w:ind w:leftChars="0"/>
        <w:rPr>
          <w:rFonts w:hint="default" w:ascii="宋体" w:hAnsi="宋体" w:eastAsia="宋体" w:cs="宋体"/>
          <w:b/>
          <w:bCs w:val="0"/>
          <w:kern w:val="2"/>
          <w:sz w:val="24"/>
          <w:szCs w:val="24"/>
          <w:lang w:val="en-US" w:eastAsia="zh-CN" w:bidi="ar-SA"/>
        </w:rPr>
      </w:pPr>
      <w:r>
        <w:rPr>
          <w:rFonts w:hint="default" w:ascii="宋体" w:hAnsi="宋体" w:eastAsia="宋体" w:cs="宋体"/>
          <w:b/>
          <w:bCs w:val="0"/>
          <w:kern w:val="2"/>
          <w:sz w:val="24"/>
          <w:szCs w:val="24"/>
          <w:lang w:val="en-US" w:eastAsia="zh-CN" w:bidi="ar-SA"/>
        </w:rPr>
        <w:t>5、素材中心</w:t>
      </w:r>
      <w:r>
        <w:rPr>
          <w:rFonts w:hint="default" w:ascii="宋体" w:hAnsi="宋体" w:eastAsia="宋体" w:cs="宋体"/>
          <w:b/>
          <w:bCs w:val="0"/>
          <w:kern w:val="2"/>
          <w:sz w:val="24"/>
          <w:szCs w:val="24"/>
          <w:lang w:val="en-US" w:eastAsia="zh-CN" w:bidi="ar-SA"/>
        </w:rPr>
        <w:tab/>
      </w:r>
    </w:p>
    <w:p w14:paraId="7A5D1597">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包含后台上传素材的展示，包括素材封面、浏览人数、课程标签关键词、可以按照素材名称查找素材，按照所属知识点、媒体类型、应用类型、适用对象，按照发布时间、热度、大小进行排序、可以按照关键字进行查询。</w:t>
      </w:r>
    </w:p>
    <w:p w14:paraId="3FAC3541">
      <w:pPr>
        <w:pStyle w:val="6"/>
        <w:numPr>
          <w:ilvl w:val="3"/>
          <w:numId w:val="0"/>
        </w:numPr>
        <w:spacing w:line="360" w:lineRule="auto"/>
        <w:ind w:leftChars="0"/>
        <w:rPr>
          <w:rFonts w:hint="default" w:ascii="宋体" w:hAnsi="宋体" w:eastAsia="宋体" w:cs="宋体"/>
          <w:b/>
          <w:bCs w:val="0"/>
          <w:kern w:val="2"/>
          <w:sz w:val="24"/>
          <w:szCs w:val="24"/>
          <w:lang w:val="en-US" w:eastAsia="zh-CN" w:bidi="ar-SA"/>
        </w:rPr>
      </w:pPr>
      <w:r>
        <w:rPr>
          <w:rFonts w:hint="default" w:ascii="宋体" w:hAnsi="宋体" w:eastAsia="宋体" w:cs="宋体"/>
          <w:b/>
          <w:bCs w:val="0"/>
          <w:kern w:val="2"/>
          <w:sz w:val="24"/>
          <w:szCs w:val="24"/>
          <w:lang w:val="en-US" w:eastAsia="zh-CN" w:bidi="ar-SA"/>
        </w:rPr>
        <w:t>6、职业培训中心</w:t>
      </w:r>
      <w:r>
        <w:rPr>
          <w:rFonts w:hint="default" w:ascii="宋体" w:hAnsi="宋体" w:eastAsia="宋体" w:cs="宋体"/>
          <w:b/>
          <w:bCs w:val="0"/>
          <w:kern w:val="2"/>
          <w:sz w:val="24"/>
          <w:szCs w:val="24"/>
          <w:lang w:val="en-US" w:eastAsia="zh-CN" w:bidi="ar-SA"/>
        </w:rPr>
        <w:tab/>
      </w:r>
    </w:p>
    <w:p w14:paraId="273A08D3">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展示行业企业介绍、职业培训资源、1+X证书中心、企业培训服务。</w:t>
      </w:r>
    </w:p>
    <w:p w14:paraId="43E1B4DC">
      <w:pPr>
        <w:pStyle w:val="6"/>
        <w:numPr>
          <w:ilvl w:val="3"/>
          <w:numId w:val="0"/>
        </w:numPr>
        <w:spacing w:line="360" w:lineRule="auto"/>
        <w:ind w:leftChars="0"/>
        <w:rPr>
          <w:rFonts w:hint="default" w:ascii="宋体" w:hAnsi="宋体" w:eastAsia="宋体" w:cs="宋体"/>
          <w:b/>
          <w:bCs w:val="0"/>
          <w:kern w:val="2"/>
          <w:sz w:val="24"/>
          <w:szCs w:val="24"/>
          <w:lang w:val="en-US" w:eastAsia="zh-CN" w:bidi="ar-SA"/>
        </w:rPr>
      </w:pPr>
      <w:r>
        <w:rPr>
          <w:rFonts w:hint="default" w:ascii="宋体" w:hAnsi="宋体" w:eastAsia="宋体" w:cs="宋体"/>
          <w:b/>
          <w:bCs w:val="0"/>
          <w:kern w:val="2"/>
          <w:sz w:val="24"/>
          <w:szCs w:val="24"/>
          <w:lang w:val="en-US" w:eastAsia="zh-CN" w:bidi="ar-SA"/>
        </w:rPr>
        <w:t>7、特色资源</w:t>
      </w:r>
      <w:r>
        <w:rPr>
          <w:rFonts w:hint="default" w:ascii="宋体" w:hAnsi="宋体" w:eastAsia="宋体" w:cs="宋体"/>
          <w:b/>
          <w:bCs w:val="0"/>
          <w:kern w:val="2"/>
          <w:sz w:val="24"/>
          <w:szCs w:val="24"/>
          <w:lang w:val="en-US" w:eastAsia="zh-CN" w:bidi="ar-SA"/>
        </w:rPr>
        <w:tab/>
      </w:r>
    </w:p>
    <w:p w14:paraId="7D02E208">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展示课程思政中心、VR虚拟仿真、药学典型教学案例等。</w:t>
      </w:r>
    </w:p>
    <w:p w14:paraId="28DEAD65">
      <w:pPr>
        <w:pStyle w:val="6"/>
        <w:numPr>
          <w:ilvl w:val="3"/>
          <w:numId w:val="0"/>
        </w:numPr>
        <w:spacing w:line="360" w:lineRule="auto"/>
        <w:ind w:leftChars="0"/>
        <w:rPr>
          <w:rFonts w:hint="default" w:ascii="宋体" w:hAnsi="宋体" w:eastAsia="宋体" w:cs="宋体"/>
          <w:b/>
          <w:bCs w:val="0"/>
          <w:kern w:val="2"/>
          <w:sz w:val="24"/>
          <w:szCs w:val="24"/>
          <w:lang w:val="en-US" w:eastAsia="zh-CN" w:bidi="ar-SA"/>
        </w:rPr>
      </w:pPr>
      <w:r>
        <w:rPr>
          <w:rFonts w:hint="default" w:ascii="宋体" w:hAnsi="宋体" w:eastAsia="宋体" w:cs="宋体"/>
          <w:b/>
          <w:bCs w:val="0"/>
          <w:kern w:val="2"/>
          <w:sz w:val="24"/>
          <w:szCs w:val="24"/>
          <w:lang w:val="en-US" w:eastAsia="zh-CN" w:bidi="ar-SA"/>
        </w:rPr>
        <w:t>8、特色创新</w:t>
      </w:r>
      <w:r>
        <w:rPr>
          <w:rFonts w:hint="default" w:ascii="宋体" w:hAnsi="宋体" w:eastAsia="宋体" w:cs="宋体"/>
          <w:b/>
          <w:bCs w:val="0"/>
          <w:kern w:val="2"/>
          <w:sz w:val="24"/>
          <w:szCs w:val="24"/>
          <w:lang w:val="en-US" w:eastAsia="zh-CN" w:bidi="ar-SA"/>
        </w:rPr>
        <w:tab/>
      </w:r>
    </w:p>
    <w:p w14:paraId="0470E82F">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展示专业支撑区域产业发展、虚拟教研室、应用创新。</w:t>
      </w:r>
    </w:p>
    <w:p w14:paraId="50DF6302">
      <w:pPr>
        <w:pStyle w:val="6"/>
        <w:numPr>
          <w:ilvl w:val="3"/>
          <w:numId w:val="0"/>
        </w:numPr>
        <w:spacing w:line="360" w:lineRule="auto"/>
        <w:ind w:leftChars="0"/>
        <w:rPr>
          <w:rFonts w:hint="default" w:ascii="宋体" w:hAnsi="宋体" w:eastAsia="宋体" w:cs="宋体"/>
          <w:b/>
          <w:bCs w:val="0"/>
          <w:kern w:val="2"/>
          <w:sz w:val="24"/>
          <w:szCs w:val="24"/>
          <w:lang w:val="en-US" w:eastAsia="zh-CN" w:bidi="ar-SA"/>
        </w:rPr>
      </w:pPr>
      <w:r>
        <w:rPr>
          <w:rFonts w:hint="default" w:ascii="宋体" w:hAnsi="宋体" w:eastAsia="宋体" w:cs="宋体"/>
          <w:b/>
          <w:bCs w:val="0"/>
          <w:kern w:val="2"/>
          <w:sz w:val="24"/>
          <w:szCs w:val="24"/>
          <w:lang w:val="en-US" w:eastAsia="zh-CN" w:bidi="ar-SA"/>
        </w:rPr>
        <w:t>9、登录模块</w:t>
      </w:r>
      <w:r>
        <w:rPr>
          <w:rFonts w:hint="default" w:ascii="宋体" w:hAnsi="宋体" w:eastAsia="宋体" w:cs="宋体"/>
          <w:b/>
          <w:bCs w:val="0"/>
          <w:kern w:val="2"/>
          <w:sz w:val="24"/>
          <w:szCs w:val="24"/>
          <w:lang w:val="en-US" w:eastAsia="zh-CN" w:bidi="ar-SA"/>
        </w:rPr>
        <w:tab/>
      </w:r>
    </w:p>
    <w:p w14:paraId="29BC52E3">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用户登录功能设计与开发：本资源库门户独立登录页面开发，支持资源库建设老师账户和学习者统一登录页面。</w:t>
      </w:r>
    </w:p>
    <w:p w14:paraId="5D24EA7F">
      <w:pPr>
        <w:pStyle w:val="6"/>
        <w:numPr>
          <w:ilvl w:val="3"/>
          <w:numId w:val="0"/>
        </w:numPr>
        <w:spacing w:line="360" w:lineRule="auto"/>
        <w:ind w:leftChars="0"/>
        <w:rPr>
          <w:rFonts w:hint="default" w:ascii="宋体" w:hAnsi="宋体" w:eastAsia="宋体" w:cs="宋体"/>
          <w:b/>
          <w:bCs w:val="0"/>
          <w:kern w:val="2"/>
          <w:sz w:val="24"/>
          <w:szCs w:val="24"/>
          <w:lang w:val="en-US" w:eastAsia="zh-CN" w:bidi="ar-SA"/>
        </w:rPr>
      </w:pPr>
      <w:r>
        <w:rPr>
          <w:rFonts w:hint="default" w:ascii="宋体" w:hAnsi="宋体" w:eastAsia="宋体" w:cs="宋体"/>
          <w:b/>
          <w:bCs w:val="0"/>
          <w:kern w:val="2"/>
          <w:sz w:val="24"/>
          <w:szCs w:val="24"/>
          <w:lang w:val="en-US" w:eastAsia="zh-CN" w:bidi="ar-SA"/>
        </w:rPr>
        <w:t>10、支持响应式设计</w:t>
      </w:r>
      <w:r>
        <w:rPr>
          <w:rFonts w:hint="default" w:ascii="宋体" w:hAnsi="宋体" w:eastAsia="宋体" w:cs="宋体"/>
          <w:b/>
          <w:bCs w:val="0"/>
          <w:kern w:val="2"/>
          <w:sz w:val="24"/>
          <w:szCs w:val="24"/>
          <w:lang w:val="en-US" w:eastAsia="zh-CN" w:bidi="ar-SA"/>
        </w:rPr>
        <w:tab/>
      </w:r>
    </w:p>
    <w:p w14:paraId="24BA5E1C">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确保网站能够根据设备屏幕大小自动调整布局。需确保跨设备和浏览器兼容性：确保网站在各种移动设备（如iPhone、Android等）及主流浏览器（如Chrome、Safari等）上都能正常运行。（供应商须提供承诺函，格式自拟，并加盖公章）</w:t>
      </w:r>
    </w:p>
    <w:p w14:paraId="0B0F0014">
      <w:pPr>
        <w:pStyle w:val="5"/>
        <w:numPr>
          <w:ilvl w:val="0"/>
          <w:numId w:val="0"/>
        </w:numPr>
        <w:spacing w:line="360" w:lineRule="auto"/>
        <w:ind w:left="0" w:leftChars="0"/>
        <w:rPr>
          <w:rFonts w:hint="eastAsia" w:ascii="宋体" w:hAnsi="宋体" w:eastAsia="宋体" w:cs="宋体"/>
          <w:b/>
          <w:bCs w:val="0"/>
          <w:kern w:val="2"/>
          <w:sz w:val="24"/>
          <w:szCs w:val="24"/>
          <w:lang w:val="en-US" w:eastAsia="zh-CN" w:bidi="ar-SA"/>
        </w:rPr>
      </w:pPr>
      <w:r>
        <w:rPr>
          <w:rFonts w:hint="eastAsia" w:ascii="宋体" w:hAnsi="宋体" w:eastAsia="宋体" w:cs="宋体"/>
          <w:b/>
          <w:bCs w:val="0"/>
          <w:kern w:val="2"/>
          <w:sz w:val="24"/>
          <w:szCs w:val="24"/>
          <w:lang w:val="en-US" w:eastAsia="zh-CN" w:bidi="ar-SA"/>
        </w:rPr>
        <w:t>三）药学专业教学资源库平台运维服务</w:t>
      </w:r>
    </w:p>
    <w:p w14:paraId="27953323">
      <w:pPr>
        <w:pStyle w:val="6"/>
        <w:numPr>
          <w:ilvl w:val="3"/>
          <w:numId w:val="0"/>
        </w:numPr>
        <w:spacing w:line="360" w:lineRule="auto"/>
        <w:ind w:leftChars="0"/>
        <w:rPr>
          <w:rFonts w:hint="eastAsia" w:ascii="宋体" w:hAnsi="宋体" w:eastAsia="宋体" w:cs="宋体"/>
          <w:b/>
          <w:bCs w:val="0"/>
          <w:kern w:val="2"/>
          <w:sz w:val="24"/>
          <w:szCs w:val="24"/>
          <w:lang w:val="en-US" w:eastAsia="zh-CN" w:bidi="ar-SA"/>
        </w:rPr>
      </w:pPr>
      <w:r>
        <w:rPr>
          <w:rFonts w:hint="eastAsia" w:ascii="宋体" w:hAnsi="宋体" w:eastAsia="宋体" w:cs="宋体"/>
          <w:b/>
          <w:bCs w:val="0"/>
          <w:kern w:val="2"/>
          <w:sz w:val="24"/>
          <w:szCs w:val="24"/>
          <w:lang w:val="en-US" w:eastAsia="zh-CN" w:bidi="ar-SA"/>
        </w:rPr>
        <w:t>1、资源库管理空间</w:t>
      </w:r>
    </w:p>
    <w:p w14:paraId="46B8900F">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设定资源库的建设目标，学校可自主按照核心专业及多个服务专业的组织形式开展资源库建设。</w:t>
      </w:r>
    </w:p>
    <w:p w14:paraId="2A8E8574">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支持本资源库负责人设置专业基础信息，包括资源库LOGO以及门户网站模板（选择门户建设方式，包括自行独立定制或选择示范模板）等。</w:t>
      </w:r>
    </w:p>
    <w:p w14:paraId="1BE903FD">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支持本资源库项目负责人对平台成员进行管理，设置专业负责人、课程负责人和课程审核人，支持设置人员权限，并有权限管理本资源库所有成员的账号。</w:t>
      </w:r>
    </w:p>
    <w:p w14:paraId="2B6C419E">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支持设置资源库的人才培养方案和专业建设标准，发挥资源库内协同育人的建设目标。</w:t>
      </w:r>
    </w:p>
    <w:p w14:paraId="1853BA79">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支持规划和建设课程体系，支持从课程类型、课程层次、课程对应岗位及相关职业证书等多个维度进行课程分类；支持通过项目知识技能图谱的方式，构建课程与课程之间的联系，体现“结构化课程”的建设理念。</w:t>
      </w:r>
    </w:p>
    <w:p w14:paraId="4C40EE36">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w:t>
      </w:r>
      <w:r>
        <w:rPr>
          <w:rFonts w:hint="eastAsia" w:ascii="宋体" w:hAnsi="宋体" w:eastAsia="宋体" w:cs="宋体"/>
          <w:sz w:val="24"/>
          <w:szCs w:val="24"/>
        </w:rPr>
        <w:t>支持按类型将课程划分为学历课程和培训课程，在实现资源共建共享的基础上丰富资源库课程内容。学历课程支持按公共基础课、专业基础课、专业核心课、专业拓展课、实验实训课构建资源库的课程层次；培训课程支持按教师培训、职业培训、竞赛培训构建资源库的课程类型。</w:t>
      </w:r>
    </w:p>
    <w:p w14:paraId="2B7C916B">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w:t>
      </w:r>
      <w:r>
        <w:rPr>
          <w:rFonts w:hint="eastAsia" w:ascii="宋体" w:hAnsi="宋体" w:eastAsia="宋体" w:cs="宋体"/>
          <w:sz w:val="24"/>
          <w:szCs w:val="24"/>
        </w:rPr>
        <w:t>支持资源库所建课程对应多专业，并与各专业职业面向就业岗位相关联，实现课程与国家职业标准体系对接，提高学生所学技能与岗位需求的匹配度。</w:t>
      </w:r>
    </w:p>
    <w:p w14:paraId="50BAC8DA">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w:t>
      </w:r>
      <w:r>
        <w:rPr>
          <w:rFonts w:hint="eastAsia" w:ascii="宋体" w:hAnsi="宋体" w:eastAsia="宋体" w:cs="宋体"/>
          <w:sz w:val="24"/>
          <w:szCs w:val="24"/>
        </w:rPr>
        <w:t>支持资源库课程团队建设，并分别指定每门课程的课程建设人员和审核人员，保证课程内容质量，实现审核流程可记录、可追溯。</w:t>
      </w:r>
    </w:p>
    <w:p w14:paraId="50CB4F30">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w:t>
      </w:r>
      <w:r>
        <w:rPr>
          <w:rFonts w:hint="eastAsia" w:ascii="宋体" w:hAnsi="宋体" w:eastAsia="宋体" w:cs="宋体"/>
          <w:sz w:val="24"/>
          <w:szCs w:val="24"/>
        </w:rPr>
        <w:t>支持展示资源库下所有的知识技能图谱、素材、题目和课程体系，汇聚成资源库资源空间，便于管理员整体把握资源库内容结构和建设进度、成果。</w:t>
      </w:r>
    </w:p>
    <w:p w14:paraId="7E679DBC">
      <w:pPr>
        <w:pStyle w:val="6"/>
        <w:numPr>
          <w:ilvl w:val="3"/>
          <w:numId w:val="0"/>
        </w:numPr>
        <w:spacing w:line="360" w:lineRule="auto"/>
        <w:ind w:leftChars="0"/>
        <w:rPr>
          <w:rFonts w:hint="eastAsia" w:ascii="宋体" w:hAnsi="宋体" w:eastAsia="宋体" w:cs="宋体"/>
          <w:b/>
          <w:bCs w:val="0"/>
          <w:kern w:val="2"/>
          <w:sz w:val="24"/>
          <w:szCs w:val="24"/>
          <w:lang w:val="en-US" w:eastAsia="zh-CN" w:bidi="ar-SA"/>
        </w:rPr>
      </w:pPr>
      <w:r>
        <w:rPr>
          <w:rFonts w:hint="eastAsia" w:ascii="宋体" w:hAnsi="宋体" w:eastAsia="宋体" w:cs="宋体"/>
          <w:b/>
          <w:bCs w:val="0"/>
          <w:kern w:val="2"/>
          <w:sz w:val="24"/>
          <w:szCs w:val="24"/>
          <w:lang w:val="en-US" w:eastAsia="zh-CN" w:bidi="ar-SA"/>
        </w:rPr>
        <w:t>2、课程建设系统</w:t>
      </w:r>
    </w:p>
    <w:p w14:paraId="279BC98F">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平台支持课程负责人维护知识技能图谱中的节点信息，对节点进行编辑、新增、删除等操作。在建设课程时，支持将图谱中的知识点层级结构，复制到课程设计内容中。</w:t>
      </w:r>
    </w:p>
    <w:p w14:paraId="0F81DB24">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如课程负责人已经参与了其他相关国家级/省级/校级资源库的建设，在原有资源库负责人赋权的前提下，该课程负责人可从原有资源库中导入其个人所建的资源、试题和课程，避免资源重复建设。</w:t>
      </w:r>
      <w:r>
        <w:rPr>
          <w:rFonts w:hint="eastAsia" w:ascii="宋体" w:hAnsi="宋体" w:eastAsia="宋体" w:cs="宋体"/>
          <w:sz w:val="24"/>
          <w:szCs w:val="24"/>
          <w:lang w:val="en-US" w:eastAsia="zh-CN"/>
        </w:rPr>
        <w:t>（</w:t>
      </w:r>
      <w:r>
        <w:rPr>
          <w:rFonts w:ascii="宋体" w:hAnsi="宋体" w:eastAsia="宋体" w:cs="宋体"/>
          <w:sz w:val="24"/>
          <w:szCs w:val="24"/>
        </w:rPr>
        <w:t>投标人须提供承诺函</w:t>
      </w:r>
      <w:r>
        <w:rPr>
          <w:rFonts w:hint="eastAsia" w:ascii="宋体" w:hAnsi="宋体" w:eastAsia="宋体" w:cs="宋体"/>
          <w:sz w:val="24"/>
          <w:szCs w:val="24"/>
          <w:lang w:val="en-US" w:eastAsia="zh-CN"/>
        </w:rPr>
        <w:t>&lt;</w:t>
      </w:r>
      <w:r>
        <w:rPr>
          <w:rFonts w:ascii="宋体" w:hAnsi="宋体" w:eastAsia="宋体" w:cs="宋体"/>
          <w:sz w:val="24"/>
          <w:szCs w:val="24"/>
        </w:rPr>
        <w:t>格式自拟，加盖投标人公章</w:t>
      </w:r>
      <w:r>
        <w:rPr>
          <w:rFonts w:hint="eastAsia" w:ascii="宋体" w:hAnsi="宋体" w:eastAsia="宋体" w:cs="宋体"/>
          <w:sz w:val="24"/>
          <w:szCs w:val="24"/>
          <w:lang w:val="en-US" w:eastAsia="zh-CN"/>
        </w:rPr>
        <w:t>&gt;</w:t>
      </w:r>
      <w:r>
        <w:rPr>
          <w:rFonts w:ascii="宋体" w:hAnsi="宋体" w:eastAsia="宋体" w:cs="宋体"/>
          <w:sz w:val="24"/>
          <w:szCs w:val="24"/>
        </w:rPr>
        <w:t>，承诺若被确定为候选中标人，在签订合同前完成本项目现场演示；现场演示无法满足项目要求的，按废标处理</w:t>
      </w:r>
      <w:r>
        <w:rPr>
          <w:rFonts w:hint="eastAsia" w:ascii="宋体" w:hAnsi="宋体" w:eastAsia="宋体" w:cs="宋体"/>
          <w:sz w:val="24"/>
          <w:szCs w:val="24"/>
          <w:lang w:val="en-US" w:eastAsia="zh-CN"/>
        </w:rPr>
        <w:t>）</w:t>
      </w:r>
    </w:p>
    <w:p w14:paraId="6EE42470">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课程负责人可将其在与本资源库平台关联的SPOC平台或MOOC平台中原创的课程资源，导入本资源库中，完成课程设计。</w:t>
      </w:r>
    </w:p>
    <w:p w14:paraId="3DA647D0">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支持同一门课程开设多个使用周期，并支持对不同周期的课程进行内容优化提升，实现课程资源建设的全过程留存；同时，支持不同课程周期内的资源复制，实现资源共建共享。</w:t>
      </w:r>
    </w:p>
    <w:p w14:paraId="27F99D06">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支持将素材与知识技能图谱对接。</w:t>
      </w:r>
    </w:p>
    <w:p w14:paraId="0868C923">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w:t>
      </w:r>
      <w:r>
        <w:rPr>
          <w:rFonts w:hint="eastAsia" w:ascii="宋体" w:hAnsi="宋体" w:eastAsia="宋体" w:cs="宋体"/>
          <w:sz w:val="24"/>
          <w:szCs w:val="24"/>
        </w:rPr>
        <w:t xml:space="preserve">支持课程负责人创建课程团队，进行教学内容建设与管理。 </w:t>
      </w:r>
    </w:p>
    <w:p w14:paraId="370C161B">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w:t>
      </w:r>
      <w:r>
        <w:rPr>
          <w:rFonts w:hint="eastAsia" w:ascii="宋体" w:hAnsi="宋体" w:eastAsia="宋体" w:cs="宋体"/>
          <w:sz w:val="24"/>
          <w:szCs w:val="24"/>
        </w:rPr>
        <w:t>支持教师对不同开课周期设置不同的作业与考试，且支持对不同考试设置不同出卷规则，实现同一课程针对不同对象的差异化教学。</w:t>
      </w:r>
    </w:p>
    <w:p w14:paraId="6340C425">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w:t>
      </w:r>
      <w:r>
        <w:rPr>
          <w:rFonts w:hint="eastAsia" w:ascii="宋体" w:hAnsi="宋体" w:eastAsia="宋体" w:cs="宋体"/>
          <w:sz w:val="24"/>
          <w:szCs w:val="24"/>
        </w:rPr>
        <w:t>支持课程负责人创建课程公告，设置课程基本信息、考核标准、参考教材，上传课程封面、课程简介视频等，支持教师根据课程教学需求自定义设置讨论区，完善课程介绍。</w:t>
      </w:r>
    </w:p>
    <w:p w14:paraId="3551DF45">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w:t>
      </w:r>
      <w:r>
        <w:rPr>
          <w:rFonts w:hint="eastAsia" w:ascii="宋体" w:hAnsi="宋体" w:eastAsia="宋体" w:cs="宋体"/>
          <w:sz w:val="24"/>
          <w:szCs w:val="24"/>
        </w:rPr>
        <w:t>支持教师在开课周期内设置考试开始时间、结束时间、考试时长、答案公布时间等。</w:t>
      </w:r>
    </w:p>
    <w:p w14:paraId="09F5127A">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w:t>
      </w:r>
      <w:r>
        <w:rPr>
          <w:rFonts w:hint="eastAsia" w:ascii="宋体" w:hAnsi="宋体" w:eastAsia="宋体" w:cs="宋体"/>
          <w:sz w:val="24"/>
          <w:szCs w:val="24"/>
        </w:rPr>
        <w:t>支持教师在开课周期内设置不同的作业类型，并可个性化设计作业结束时间，支持作业添加到课程内容指定的位置。</w:t>
      </w:r>
    </w:p>
    <w:p w14:paraId="58E147F9">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11</w:t>
      </w:r>
      <w:r>
        <w:rPr>
          <w:rFonts w:hint="eastAsia" w:ascii="宋体" w:hAnsi="宋体" w:eastAsia="宋体" w:cs="宋体"/>
          <w:sz w:val="24"/>
          <w:szCs w:val="24"/>
          <w:lang w:eastAsia="zh-CN"/>
        </w:rPr>
        <w:t>）</w:t>
      </w:r>
      <w:r>
        <w:rPr>
          <w:rFonts w:hint="eastAsia" w:ascii="宋体" w:hAnsi="宋体" w:eastAsia="宋体" w:cs="宋体"/>
          <w:sz w:val="24"/>
          <w:szCs w:val="24"/>
        </w:rPr>
        <w:t>支持课程负责人统计学生学习情况，包括作业统计，考试统计，随堂测验统计，视频资源统计，其他资源统计，讨论统计。</w:t>
      </w:r>
    </w:p>
    <w:p w14:paraId="0B2FF924">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12</w:t>
      </w:r>
      <w:r>
        <w:rPr>
          <w:rFonts w:hint="eastAsia" w:ascii="宋体" w:hAnsi="宋体" w:eastAsia="宋体" w:cs="宋体"/>
          <w:sz w:val="24"/>
          <w:szCs w:val="24"/>
          <w:lang w:eastAsia="zh-CN"/>
        </w:rPr>
        <w:t>）</w:t>
      </w:r>
      <w:r>
        <w:rPr>
          <w:rFonts w:hint="eastAsia" w:ascii="宋体" w:hAnsi="宋体" w:eastAsia="宋体" w:cs="宋体"/>
          <w:sz w:val="24"/>
          <w:szCs w:val="24"/>
        </w:rPr>
        <w:t>支持一键开启SPOC教学，在资源库的建课中心，可以开启本课程的SPOC教学。即用同步或者新开的开课方式，把当前开课的课程设计、题库等内容同步到SPOC空间里。</w:t>
      </w:r>
    </w:p>
    <w:p w14:paraId="739C5B37">
      <w:pPr>
        <w:pStyle w:val="6"/>
        <w:numPr>
          <w:ilvl w:val="3"/>
          <w:numId w:val="0"/>
        </w:numPr>
        <w:spacing w:line="360" w:lineRule="auto"/>
        <w:ind w:leftChars="0"/>
        <w:rPr>
          <w:rFonts w:hint="eastAsia" w:ascii="宋体" w:hAnsi="宋体" w:eastAsia="宋体" w:cs="宋体"/>
          <w:b/>
          <w:bCs w:val="0"/>
          <w:kern w:val="2"/>
          <w:sz w:val="24"/>
          <w:szCs w:val="24"/>
          <w:lang w:val="en-US" w:eastAsia="zh-CN" w:bidi="ar-SA"/>
        </w:rPr>
      </w:pPr>
      <w:r>
        <w:rPr>
          <w:rFonts w:hint="eastAsia" w:ascii="宋体" w:hAnsi="宋体" w:eastAsia="宋体" w:cs="宋体"/>
          <w:b/>
          <w:bCs w:val="0"/>
          <w:kern w:val="2"/>
          <w:sz w:val="24"/>
          <w:szCs w:val="24"/>
          <w:lang w:val="en-US" w:eastAsia="zh-CN" w:bidi="ar-SA"/>
        </w:rPr>
        <w:t>3、课程审核系统</w:t>
      </w:r>
    </w:p>
    <w:p w14:paraId="6B580647">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支持课程建设完成后进行课程预览，并提交课程审核人进行内容审核。</w:t>
      </w:r>
    </w:p>
    <w:p w14:paraId="5B402105">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支持课程审核人对素材、题目等资源进行审核，支持批量审核与下架；素材审核包括素材名称、上传者、上传时间、媒体类型、应用类型、所属平台来源等属性；题库审核包括题干、题型、难易程度、上传者、上传时间等属性。</w:t>
      </w:r>
    </w:p>
    <w:p w14:paraId="1FEFD46D">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支持课程审核人对课程属性进行审核，包括课程名称、类型、所属专业、创建时间、课程层次，课程开课周期等属性。</w:t>
      </w:r>
    </w:p>
    <w:p w14:paraId="27CE0159">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支持课程审核人对课程建设内容进行审核，填写审核意见，体现资源库的“一体化设计”要求，提高资源库建设质量。</w:t>
      </w:r>
    </w:p>
    <w:p w14:paraId="0B217FFB">
      <w:pPr>
        <w:pStyle w:val="6"/>
        <w:numPr>
          <w:ilvl w:val="3"/>
          <w:numId w:val="0"/>
        </w:numPr>
        <w:spacing w:line="360" w:lineRule="auto"/>
        <w:ind w:leftChars="0"/>
        <w:rPr>
          <w:rFonts w:hint="eastAsia" w:ascii="宋体" w:hAnsi="宋体" w:eastAsia="宋体" w:cs="宋体"/>
          <w:b/>
          <w:bCs w:val="0"/>
          <w:kern w:val="2"/>
          <w:sz w:val="24"/>
          <w:szCs w:val="24"/>
          <w:lang w:val="en-US" w:eastAsia="zh-CN" w:bidi="ar-SA"/>
        </w:rPr>
      </w:pPr>
      <w:r>
        <w:rPr>
          <w:rFonts w:hint="eastAsia" w:ascii="宋体" w:hAnsi="宋体" w:eastAsia="宋体" w:cs="宋体"/>
          <w:b/>
          <w:bCs w:val="0"/>
          <w:kern w:val="2"/>
          <w:sz w:val="24"/>
          <w:szCs w:val="24"/>
          <w:lang w:val="en-US" w:eastAsia="zh-CN" w:bidi="ar-SA"/>
        </w:rPr>
        <w:t>4、资源建设系统</w:t>
      </w:r>
    </w:p>
    <w:p w14:paraId="0F88321C">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支持按课程构建资源库的知识技能树和知识技能图谱。</w:t>
      </w:r>
    </w:p>
    <w:p w14:paraId="153CC97D">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支持资源库项目团队成员加入项目对应智慧教研室，实现线上虚拟教研。</w:t>
      </w:r>
    </w:p>
    <w:p w14:paraId="40281F7F">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支持汇聚资源库的素材、题库及课程建设内容，并支持智能搜索和推荐。</w:t>
      </w:r>
    </w:p>
    <w:p w14:paraId="7D39A07D">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支持素材进行标签管理，支持将素材设置媒体类型、适用对象、素材语言、素材来源等，增强资源检索的便捷性。</w:t>
      </w:r>
    </w:p>
    <w:p w14:paraId="5121B25C">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支持用户收藏资源库内的课程、素材等内容，提高资源使用效率。</w:t>
      </w:r>
    </w:p>
    <w:p w14:paraId="3A96FB18">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w:t>
      </w:r>
      <w:r>
        <w:rPr>
          <w:rFonts w:hint="eastAsia" w:ascii="宋体" w:hAnsi="宋体" w:eastAsia="宋体" w:cs="宋体"/>
          <w:sz w:val="24"/>
          <w:szCs w:val="24"/>
        </w:rPr>
        <w:t>文档格式，支持doc、docx、xls、xlsx、pdf、txt、ppt、pptx等主流格式，上传后自动转码，无需另行安装插件可直接在线阅读。</w:t>
      </w:r>
    </w:p>
    <w:p w14:paraId="2C6ED261">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w:t>
      </w:r>
      <w:r>
        <w:rPr>
          <w:rFonts w:hint="eastAsia" w:ascii="宋体" w:hAnsi="宋体" w:eastAsia="宋体" w:cs="宋体"/>
          <w:sz w:val="24"/>
          <w:szCs w:val="24"/>
        </w:rPr>
        <w:t>图片支持jpg、jpeg、png、bmp、gif等格式。</w:t>
      </w:r>
    </w:p>
    <w:p w14:paraId="75D069A4">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w:t>
      </w:r>
      <w:r>
        <w:rPr>
          <w:rFonts w:hint="eastAsia" w:ascii="宋体" w:hAnsi="宋体" w:eastAsia="宋体" w:cs="宋体"/>
          <w:sz w:val="24"/>
          <w:szCs w:val="24"/>
        </w:rPr>
        <w:t>压缩包支持上传7z、rar、tar、zip等格式。</w:t>
      </w:r>
    </w:p>
    <w:p w14:paraId="24ABAD87">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w:t>
      </w:r>
      <w:r>
        <w:rPr>
          <w:rFonts w:hint="eastAsia" w:ascii="宋体" w:hAnsi="宋体" w:eastAsia="宋体" w:cs="宋体"/>
          <w:sz w:val="24"/>
          <w:szCs w:val="24"/>
        </w:rPr>
        <w:t>支持包括各种文档、音频、视频、动画、图片的在线预览和播放。</w:t>
      </w:r>
    </w:p>
    <w:p w14:paraId="0FFAFF4E">
      <w:pPr>
        <w:pStyle w:val="6"/>
        <w:numPr>
          <w:ilvl w:val="3"/>
          <w:numId w:val="0"/>
        </w:numPr>
        <w:spacing w:line="360" w:lineRule="auto"/>
        <w:ind w:leftChars="0"/>
        <w:rPr>
          <w:rFonts w:hint="eastAsia" w:ascii="宋体" w:hAnsi="宋体" w:eastAsia="宋体" w:cs="宋体"/>
          <w:b/>
          <w:bCs w:val="0"/>
          <w:kern w:val="2"/>
          <w:sz w:val="24"/>
          <w:szCs w:val="24"/>
          <w:lang w:val="en-US" w:eastAsia="zh-CN" w:bidi="ar-SA"/>
        </w:rPr>
      </w:pPr>
      <w:r>
        <w:rPr>
          <w:rFonts w:hint="eastAsia" w:ascii="宋体" w:hAnsi="宋体" w:eastAsia="宋体" w:cs="宋体"/>
          <w:b/>
          <w:bCs w:val="0"/>
          <w:kern w:val="2"/>
          <w:sz w:val="24"/>
          <w:szCs w:val="24"/>
          <w:lang w:val="en-US" w:eastAsia="zh-CN" w:bidi="ar-SA"/>
        </w:rPr>
        <w:t>5、学习中心</w:t>
      </w:r>
    </w:p>
    <w:p w14:paraId="48221F21">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我的课程，已经添加的课程展示，可以对在修课程和已修课程进行管理、学习。</w:t>
      </w:r>
    </w:p>
    <w:p w14:paraId="59815469">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待答作业，学生可以对自己的作业进行作答、查看。</w:t>
      </w:r>
    </w:p>
    <w:p w14:paraId="2AFF7E45">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待答考试，学生可以对自己的考试进行作答、查看。</w:t>
      </w:r>
    </w:p>
    <w:p w14:paraId="7053B8C0">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消息通知，查询消息通知详情、标记为全部已读。</w:t>
      </w:r>
    </w:p>
    <w:p w14:paraId="66C16B93">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我的收藏，对收藏的课程和素材资源进行查看、删除的管理。</w:t>
      </w:r>
    </w:p>
    <w:p w14:paraId="06AF2226">
      <w:pPr>
        <w:pStyle w:val="6"/>
        <w:numPr>
          <w:ilvl w:val="3"/>
          <w:numId w:val="0"/>
        </w:numPr>
        <w:spacing w:line="360" w:lineRule="auto"/>
        <w:ind w:leftChars="0"/>
        <w:rPr>
          <w:rFonts w:hint="eastAsia" w:ascii="宋体" w:hAnsi="宋体" w:eastAsia="宋体" w:cs="宋体"/>
          <w:b/>
          <w:bCs w:val="0"/>
          <w:kern w:val="2"/>
          <w:sz w:val="24"/>
          <w:szCs w:val="24"/>
          <w:lang w:val="en-US" w:eastAsia="zh-CN" w:bidi="ar-SA"/>
        </w:rPr>
      </w:pPr>
      <w:r>
        <w:rPr>
          <w:rFonts w:hint="eastAsia" w:ascii="宋体" w:hAnsi="宋体" w:eastAsia="宋体" w:cs="宋体"/>
          <w:b/>
          <w:bCs w:val="0"/>
          <w:kern w:val="2"/>
          <w:sz w:val="24"/>
          <w:szCs w:val="24"/>
          <w:lang w:val="en-US" w:eastAsia="zh-CN" w:bidi="ar-SA"/>
        </w:rPr>
        <w:t>6、数据分析中心</w:t>
      </w:r>
    </w:p>
    <w:p w14:paraId="57558AD8">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资源库数据分析</w:t>
      </w:r>
    </w:p>
    <w:p w14:paraId="722EFDB3">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1）支持统计分析资源库的总用户数、素材数、题库数、知识图谱总节点数、课程总数、资源库课程总期数、标准化课程总数等；</w:t>
      </w:r>
    </w:p>
    <w:p w14:paraId="4635B78F">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2）支持按素材来源、适应对象、媒体类型、应用类型、被课程引用的资源占比、被课程引用的资源类型占比，以及按课程分布、按建设单位统计等维度，统计分析资源库的资源建设数据；</w:t>
      </w:r>
    </w:p>
    <w:p w14:paraId="5945A4B3">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3）支持按题型、难易度、主客观分类、课程分布等维度，统计分析题库建设数据。</w:t>
      </w:r>
    </w:p>
    <w:p w14:paraId="60300B26">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课程数据分析</w:t>
      </w:r>
    </w:p>
    <w:p w14:paraId="7456785E">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1）支持统计分析资源库标准化课程数、SPOC课程总数、MOOC上线期数、学历课程数、证书课程数和培训课程数，以及各参建单位课程建设数量情况；</w:t>
      </w:r>
    </w:p>
    <w:p w14:paraId="56DB87B5">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2）支持统计分析资源库中每门课程的建设数据；包括授课视频、课程公告、非视频资源、测验和作业、互动交流情况、考试等数据，以及课程衍生的SPOC、MOOC数据情况。</w:t>
      </w:r>
    </w:p>
    <w:p w14:paraId="465C1D78">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日志统计，统计分析展示当前资源库的日志分布、日志类型分布、学生类型日志分布、用户行为日志按时间段分布、按项目成员统计、按用户所在单位等数据。</w:t>
      </w:r>
    </w:p>
    <w:p w14:paraId="599A3946">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参建单位统计，统计分析展示当前资源库的参建单位用户数量、参建单位课程建设情况、参建单位上传资源情况(点击柱形图可查看学校详情)、日志类型分布、参建单位日志日期分布等数据。</w:t>
      </w:r>
    </w:p>
    <w:p w14:paraId="31ACD164">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监测数据分析，支持根据教育部资源库申报文件，及后续资源库监测平台所列的数据监测指标要求，提供本资源库相关监测数据。</w:t>
      </w:r>
    </w:p>
    <w:p w14:paraId="0AA68ADA">
      <w:pPr>
        <w:pStyle w:val="6"/>
        <w:numPr>
          <w:ilvl w:val="3"/>
          <w:numId w:val="0"/>
        </w:numPr>
        <w:spacing w:line="360" w:lineRule="auto"/>
        <w:ind w:leftChars="0"/>
        <w:rPr>
          <w:rFonts w:hint="eastAsia" w:ascii="宋体" w:hAnsi="宋体" w:eastAsia="宋体" w:cs="宋体"/>
          <w:b/>
          <w:bCs w:val="0"/>
          <w:kern w:val="2"/>
          <w:sz w:val="24"/>
          <w:szCs w:val="24"/>
          <w:lang w:val="en-US" w:eastAsia="zh-CN" w:bidi="ar-SA"/>
        </w:rPr>
      </w:pPr>
      <w:r>
        <w:rPr>
          <w:rFonts w:hint="eastAsia" w:ascii="宋体" w:hAnsi="宋体" w:eastAsia="宋体" w:cs="宋体"/>
          <w:b/>
          <w:bCs w:val="0"/>
          <w:kern w:val="2"/>
          <w:sz w:val="24"/>
          <w:szCs w:val="24"/>
          <w:lang w:val="en-US" w:eastAsia="zh-CN" w:bidi="ar-SA"/>
        </w:rPr>
        <w:t>7、应用数据对接</w:t>
      </w:r>
    </w:p>
    <w:p w14:paraId="1F7AF383">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药学专业教学资源库资源库产生的应用数据能够与职业教育数字化学习中心平台（www.icve.com.cn）数据对接。（</w:t>
      </w:r>
      <w:r>
        <w:rPr>
          <w:rFonts w:ascii="宋体" w:hAnsi="宋体" w:eastAsia="宋体" w:cs="宋体"/>
          <w:sz w:val="24"/>
          <w:szCs w:val="24"/>
        </w:rPr>
        <w:t>投标人须自行拟定承诺函格式并加盖单位公章；承诺签订合同时提交制造商授权委托书，若签订合同时无法提供该授权委托书的</w:t>
      </w:r>
      <w:r>
        <w:rPr>
          <w:rFonts w:hint="eastAsia" w:ascii="宋体" w:hAnsi="宋体" w:eastAsia="宋体" w:cs="宋体"/>
          <w:sz w:val="24"/>
          <w:szCs w:val="24"/>
          <w:lang w:val="en-US" w:eastAsia="zh-CN"/>
        </w:rPr>
        <w:t>,</w:t>
      </w:r>
      <w:r>
        <w:rPr>
          <w:rFonts w:ascii="宋体" w:hAnsi="宋体" w:eastAsia="宋体" w:cs="宋体"/>
          <w:sz w:val="24"/>
          <w:szCs w:val="24"/>
        </w:rPr>
        <w:t>予以废标</w:t>
      </w:r>
      <w:r>
        <w:rPr>
          <w:rFonts w:hint="eastAsia" w:ascii="宋体" w:hAnsi="宋体" w:eastAsia="宋体" w:cs="宋体"/>
          <w:sz w:val="24"/>
          <w:szCs w:val="24"/>
          <w:lang w:val="en-US" w:eastAsia="zh-CN"/>
        </w:rPr>
        <w:t>）</w:t>
      </w:r>
    </w:p>
    <w:p w14:paraId="73C864B4">
      <w:pPr>
        <w:pStyle w:val="5"/>
        <w:numPr>
          <w:ilvl w:val="3"/>
          <w:numId w:val="0"/>
        </w:numPr>
        <w:spacing w:line="360" w:lineRule="auto"/>
        <w:ind w:leftChars="0"/>
        <w:rPr>
          <w:rFonts w:hint="eastAsia" w:ascii="宋体" w:hAnsi="宋体" w:eastAsia="宋体" w:cs="宋体"/>
          <w:b/>
          <w:bCs w:val="0"/>
          <w:kern w:val="2"/>
          <w:sz w:val="24"/>
          <w:szCs w:val="24"/>
          <w:lang w:val="en-US" w:eastAsia="zh-CN" w:bidi="ar-SA"/>
        </w:rPr>
      </w:pPr>
      <w:r>
        <w:rPr>
          <w:rFonts w:hint="eastAsia" w:ascii="宋体" w:hAnsi="宋体" w:eastAsia="宋体" w:cs="宋体"/>
          <w:b/>
          <w:bCs w:val="0"/>
          <w:kern w:val="2"/>
          <w:sz w:val="24"/>
          <w:szCs w:val="24"/>
          <w:lang w:val="en-US" w:eastAsia="zh-CN" w:bidi="ar-SA"/>
        </w:rPr>
        <w:t>四）服务要求</w:t>
      </w:r>
    </w:p>
    <w:p w14:paraId="2B415B28">
      <w:pPr>
        <w:spacing w:line="360" w:lineRule="auto"/>
        <w:rPr>
          <w:rFonts w:hint="eastAsia" w:ascii="宋体" w:hAnsi="宋体" w:eastAsia="宋体" w:cs="宋体"/>
          <w:sz w:val="24"/>
          <w:szCs w:val="24"/>
        </w:rPr>
      </w:pPr>
      <w:r>
        <w:rPr>
          <w:rFonts w:hint="eastAsia" w:ascii="宋体" w:hAnsi="宋体" w:eastAsia="宋体" w:cs="宋体"/>
          <w:sz w:val="24"/>
          <w:szCs w:val="24"/>
        </w:rPr>
        <w:t>1.中标人应及时完成平台部署，并对采购方使用人员进行操作及日常维护等的培训。</w:t>
      </w:r>
    </w:p>
    <w:p w14:paraId="67AD5DF1">
      <w:pPr>
        <w:spacing w:line="360" w:lineRule="auto"/>
        <w:rPr>
          <w:rFonts w:hint="eastAsia" w:ascii="宋体" w:hAnsi="宋体" w:eastAsia="宋体" w:cs="宋体"/>
          <w:sz w:val="24"/>
          <w:szCs w:val="24"/>
        </w:rPr>
      </w:pPr>
      <w:r>
        <w:rPr>
          <w:rFonts w:hint="eastAsia" w:ascii="宋体" w:hAnsi="宋体" w:eastAsia="宋体" w:cs="宋体"/>
          <w:sz w:val="24"/>
          <w:szCs w:val="24"/>
        </w:rPr>
        <w:t>2.中标人指派专人负责与采购人联系售后服务事宜，通过企业微信、在线客服工具，提供7*24小时在线服务；学校提出问题，在2个小时内给予响应。</w:t>
      </w:r>
    </w:p>
    <w:p w14:paraId="5D062BAC">
      <w:pPr>
        <w:spacing w:line="360" w:lineRule="auto"/>
        <w:rPr>
          <w:rFonts w:hint="eastAsia" w:ascii="宋体" w:hAnsi="宋体" w:eastAsia="宋体" w:cs="宋体"/>
          <w:sz w:val="24"/>
          <w:szCs w:val="24"/>
        </w:rPr>
      </w:pPr>
      <w:r>
        <w:rPr>
          <w:rFonts w:hint="eastAsia" w:ascii="宋体" w:hAnsi="宋体" w:eastAsia="宋体" w:cs="宋体"/>
          <w:sz w:val="24"/>
          <w:szCs w:val="24"/>
        </w:rPr>
        <w:t>3.平台采用云计算架构，学校不需要准备本地存储设备；服务期内，由中标人承担云存储空间及带宽加速等云端软硬件环境租用费用（包括但不限于云服务器、带宽、CDN加速）。</w:t>
      </w:r>
    </w:p>
    <w:p w14:paraId="16C9AB4C">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资源合规审核</w:t>
      </w:r>
    </w:p>
    <w:p w14:paraId="753D8FA6">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按照《国家智慧教育平台数字教育资源内容审核规范》等</w:t>
      </w:r>
      <w:r>
        <w:rPr>
          <w:rFonts w:hint="default" w:ascii="宋体" w:hAnsi="宋体" w:eastAsia="宋体" w:cs="宋体"/>
          <w:sz w:val="24"/>
          <w:szCs w:val="24"/>
          <w:lang w:val="en-US" w:eastAsia="zh-CN"/>
        </w:rPr>
        <w:t>政策文件</w:t>
      </w:r>
      <w:r>
        <w:rPr>
          <w:rFonts w:hint="eastAsia" w:ascii="宋体" w:hAnsi="宋体" w:eastAsia="宋体" w:cs="宋体"/>
          <w:sz w:val="24"/>
          <w:szCs w:val="24"/>
          <w:lang w:val="en-US" w:eastAsia="zh-CN"/>
        </w:rPr>
        <w:t>，组建具备编辑职称的专业审核团队，协助学校对入库资源开展政治性、科学性、先进性、适用性、规范性全维度审读与审核，把控资源内容质量与价值导向。</w:t>
      </w:r>
      <w:r>
        <w:rPr>
          <w:rFonts w:hint="eastAsia" w:ascii="宋体" w:hAnsi="宋体" w:eastAsia="宋体" w:cs="宋体"/>
          <w:b w:val="0"/>
          <w:bCs w:val="0"/>
          <w:sz w:val="24"/>
          <w:szCs w:val="24"/>
          <w:lang w:val="en-US" w:eastAsia="zh-CN"/>
        </w:rPr>
        <w:t>（</w:t>
      </w:r>
      <w:r>
        <w:rPr>
          <w:rFonts w:ascii="宋体" w:hAnsi="宋体" w:eastAsia="宋体" w:cs="宋体"/>
          <w:b w:val="0"/>
          <w:bCs w:val="0"/>
          <w:sz w:val="24"/>
          <w:szCs w:val="24"/>
        </w:rPr>
        <w:t>提供出版专业技术人员职业资格证书</w:t>
      </w:r>
      <w:r>
        <w:rPr>
          <w:rFonts w:hint="eastAsia" w:ascii="宋体" w:hAnsi="宋体" w:eastAsia="宋体" w:cs="宋体"/>
          <w:b w:val="0"/>
          <w:bCs w:val="0"/>
          <w:sz w:val="24"/>
          <w:szCs w:val="24"/>
          <w:lang w:val="en-US" w:eastAsia="zh-CN"/>
        </w:rPr>
        <w:t>&lt;</w:t>
      </w:r>
      <w:r>
        <w:rPr>
          <w:rFonts w:ascii="宋体" w:hAnsi="宋体" w:eastAsia="宋体" w:cs="宋体"/>
          <w:b w:val="0"/>
          <w:bCs w:val="0"/>
          <w:sz w:val="24"/>
          <w:szCs w:val="24"/>
        </w:rPr>
        <w:t>中级及以上</w:t>
      </w:r>
      <w:r>
        <w:rPr>
          <w:rFonts w:hint="eastAsia" w:ascii="宋体" w:hAnsi="宋体" w:eastAsia="宋体" w:cs="宋体"/>
          <w:b w:val="0"/>
          <w:bCs w:val="0"/>
          <w:sz w:val="24"/>
          <w:szCs w:val="24"/>
          <w:lang w:val="en-US" w:eastAsia="zh-CN"/>
        </w:rPr>
        <w:t>&gt;</w:t>
      </w:r>
      <w:r>
        <w:rPr>
          <w:rFonts w:ascii="宋体" w:hAnsi="宋体" w:eastAsia="宋体" w:cs="宋体"/>
          <w:b w:val="0"/>
          <w:bCs w:val="0"/>
          <w:sz w:val="24"/>
          <w:szCs w:val="24"/>
        </w:rPr>
        <w:t>扫描件，同时提供投标人近6个月内任意1个月为该持证人员缴纳的社会保险缴纳证明</w:t>
      </w:r>
      <w:r>
        <w:rPr>
          <w:rFonts w:hint="eastAsia" w:ascii="宋体" w:hAnsi="宋体" w:eastAsia="宋体" w:cs="宋体"/>
          <w:b w:val="0"/>
          <w:bCs w:val="0"/>
          <w:sz w:val="24"/>
          <w:szCs w:val="24"/>
          <w:lang w:val="en-US" w:eastAsia="zh-CN"/>
        </w:rPr>
        <w:t>,</w:t>
      </w:r>
      <w:r>
        <w:rPr>
          <w:rFonts w:ascii="宋体" w:hAnsi="宋体" w:eastAsia="宋体" w:cs="宋体"/>
          <w:b w:val="0"/>
          <w:bCs w:val="0"/>
          <w:sz w:val="24"/>
          <w:szCs w:val="24"/>
        </w:rPr>
        <w:t>证明该人员为本单位在职人员</w:t>
      </w:r>
      <w:r>
        <w:rPr>
          <w:rFonts w:hint="eastAsia" w:ascii="宋体" w:hAnsi="宋体" w:eastAsia="宋体" w:cs="宋体"/>
          <w:b w:val="0"/>
          <w:bCs w:val="0"/>
          <w:sz w:val="24"/>
          <w:szCs w:val="24"/>
          <w:lang w:val="en-US" w:eastAsia="zh-CN"/>
        </w:rPr>
        <w:t>）；</w:t>
      </w:r>
    </w:p>
    <w:p w14:paraId="3723DAFF">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人员培训服务</w:t>
      </w:r>
    </w:p>
    <w:p w14:paraId="63D57CE6">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采购服务正式移交采购人前，在采购人现场或国内培训中心进行现场培训不少于1名操作人员或不少于1名维护人员，达到能独立、熟练操作的程度，培训时间应不少于1个工作日/每人。在质保期内用户正常进行培训时，提供专项的指导和技术支持。</w:t>
      </w:r>
    </w:p>
    <w:p w14:paraId="40DFC93A">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（2）培训授课人必须是经过厂家认证工程师、技术员等。</w:t>
      </w:r>
    </w:p>
    <w:p w14:paraId="487A0DEC">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（3）中标人必须为所有被培训人员提供培训用文字资料和讲义等相关用品。所有的资料必须是中文书写。</w:t>
      </w:r>
    </w:p>
    <w:p w14:paraId="0BC3886C">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（4）投标人应将所有培训费用（含培训教材费）及各项支出列入计入投标总价。</w:t>
      </w:r>
    </w:p>
    <w:p w14:paraId="70D1515D">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6.知识产权与版权约定</w:t>
      </w:r>
    </w:p>
    <w:p w14:paraId="4B0782E3">
      <w:p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本项目服务期间，利用平台生成的所有数字资源（包括但不限于课程视频、文档、题库、学生学习数据、教学分析报告等）的知识产权及相关权益，全部归学校所有。服务商不得将学校数据用于本项目之外的任何目的。</w:t>
      </w:r>
    </w:p>
    <w:p w14:paraId="61EEF740">
      <w:pPr>
        <w:spacing w:line="360" w:lineRule="auto"/>
        <w:rPr>
          <w:rFonts w:hint="eastAsia" w:ascii="宋体" w:hAnsi="宋体" w:eastAsia="宋体" w:cs="宋体"/>
          <w:sz w:val="24"/>
          <w:szCs w:val="24"/>
        </w:rPr>
      </w:pPr>
    </w:p>
    <w:p w14:paraId="1436B359">
      <w:pPr>
        <w:pStyle w:val="3"/>
        <w:spacing w:after="0"/>
        <w:rPr>
          <w:rFonts w:hint="eastAsia" w:ascii="宋体" w:hAnsi="宋体" w:eastAsia="宋体" w:cs="宋体"/>
          <w:sz w:val="28"/>
          <w:szCs w:val="28"/>
        </w:rPr>
      </w:pPr>
      <w:r>
        <w:rPr>
          <w:rFonts w:hint="eastAsia" w:ascii="宋体" w:hAnsi="宋体" w:eastAsia="宋体" w:cs="宋体"/>
          <w:sz w:val="28"/>
          <w:szCs w:val="28"/>
        </w:rPr>
        <w:br w:type="page"/>
      </w:r>
      <w:r>
        <w:rPr>
          <w:rFonts w:hint="eastAsia" w:ascii="宋体" w:hAnsi="宋体" w:eastAsia="宋体" w:cs="宋体"/>
          <w:sz w:val="28"/>
          <w:szCs w:val="28"/>
          <w:lang w:val="en-US" w:eastAsia="zh-CN"/>
        </w:rPr>
        <w:t>五</w:t>
      </w:r>
      <w:r>
        <w:rPr>
          <w:rFonts w:hint="eastAsia" w:ascii="宋体" w:hAnsi="宋体" w:eastAsia="宋体" w:cs="宋体"/>
          <w:sz w:val="28"/>
          <w:szCs w:val="28"/>
        </w:rPr>
        <w:t>、采购项目商务要求</w:t>
      </w:r>
    </w:p>
    <w:tbl>
      <w:tblPr>
        <w:tblStyle w:val="10"/>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67"/>
        <w:gridCol w:w="8401"/>
      </w:tblGrid>
      <w:tr w14:paraId="7A7B12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6" w:type="pct"/>
            <w:noWrap w:val="0"/>
            <w:vAlign w:val="top"/>
          </w:tcPr>
          <w:p w14:paraId="0434DCF6">
            <w:pPr>
              <w:pStyle w:val="13"/>
              <w:spacing w:line="360" w:lineRule="auto"/>
              <w:rPr>
                <w:sz w:val="24"/>
                <w:szCs w:val="24"/>
              </w:rPr>
            </w:pPr>
            <w:r>
              <w:rPr>
                <w:sz w:val="24"/>
                <w:szCs w:val="24"/>
              </w:rPr>
              <w:t>标的提供的时间</w:t>
            </w:r>
          </w:p>
        </w:tc>
        <w:tc>
          <w:tcPr>
            <w:tcW w:w="4213" w:type="pct"/>
            <w:noWrap w:val="0"/>
            <w:vAlign w:val="top"/>
          </w:tcPr>
          <w:p w14:paraId="4E0CB5BB">
            <w:pPr>
              <w:pStyle w:val="13"/>
              <w:spacing w:line="360" w:lineRule="auto"/>
              <w:rPr>
                <w:sz w:val="24"/>
                <w:szCs w:val="24"/>
              </w:rPr>
            </w:pPr>
            <w:r>
              <w:rPr>
                <w:sz w:val="24"/>
                <w:szCs w:val="24"/>
              </w:rPr>
              <w:t>自合同签</w:t>
            </w:r>
            <w:r>
              <w:rPr>
                <w:sz w:val="24"/>
                <w:szCs w:val="24"/>
                <w:highlight w:val="none"/>
              </w:rPr>
              <w:t>订之日起</w:t>
            </w:r>
            <w:r>
              <w:rPr>
                <w:rFonts w:hint="eastAsia"/>
                <w:sz w:val="24"/>
                <w:szCs w:val="24"/>
                <w:highlight w:val="none"/>
                <w:lang w:val="en-US" w:eastAsia="zh-CN"/>
              </w:rPr>
              <w:t>12个月</w:t>
            </w:r>
            <w:r>
              <w:rPr>
                <w:sz w:val="24"/>
                <w:szCs w:val="24"/>
              </w:rPr>
              <w:t>内提供对应内容的</w:t>
            </w:r>
            <w:r>
              <w:rPr>
                <w:rFonts w:hint="eastAsia"/>
                <w:sz w:val="24"/>
                <w:szCs w:val="24"/>
                <w:lang w:val="en-US" w:eastAsia="zh-CN"/>
              </w:rPr>
              <w:t>建设</w:t>
            </w:r>
            <w:r>
              <w:rPr>
                <w:sz w:val="24"/>
                <w:szCs w:val="24"/>
              </w:rPr>
              <w:t>及做好功能使用培训</w:t>
            </w:r>
            <w:r>
              <w:rPr>
                <w:rFonts w:hint="eastAsia"/>
                <w:sz w:val="24"/>
                <w:szCs w:val="24"/>
                <w:lang w:val="en-US" w:eastAsia="zh-CN"/>
              </w:rPr>
              <w:t>及验收</w:t>
            </w:r>
            <w:r>
              <w:rPr>
                <w:sz w:val="24"/>
                <w:szCs w:val="24"/>
              </w:rPr>
              <w:t>。</w:t>
            </w:r>
          </w:p>
        </w:tc>
      </w:tr>
      <w:tr w14:paraId="208A7E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6" w:type="pct"/>
            <w:noWrap w:val="0"/>
            <w:vAlign w:val="top"/>
          </w:tcPr>
          <w:p w14:paraId="28E47FBB">
            <w:pPr>
              <w:pStyle w:val="13"/>
              <w:spacing w:line="360" w:lineRule="auto"/>
              <w:rPr>
                <w:sz w:val="24"/>
                <w:szCs w:val="24"/>
              </w:rPr>
            </w:pPr>
            <w:r>
              <w:rPr>
                <w:sz w:val="24"/>
                <w:szCs w:val="24"/>
              </w:rPr>
              <w:t>付款方式</w:t>
            </w:r>
          </w:p>
        </w:tc>
        <w:tc>
          <w:tcPr>
            <w:tcW w:w="4213" w:type="pct"/>
            <w:noWrap w:val="0"/>
            <w:vAlign w:val="top"/>
          </w:tcPr>
          <w:p w14:paraId="5DB5721D">
            <w:pPr>
              <w:pStyle w:val="13"/>
              <w:spacing w:line="360" w:lineRule="auto"/>
              <w:rPr>
                <w:rFonts w:hint="eastAsia"/>
                <w:sz w:val="24"/>
                <w:szCs w:val="24"/>
              </w:rPr>
            </w:pPr>
            <w:r>
              <w:rPr>
                <w:rFonts w:hint="eastAsia"/>
                <w:sz w:val="24"/>
                <w:szCs w:val="24"/>
              </w:rPr>
              <w:t>第一期：支付比例30%,合同签订并收到发票后15日内，采购人支付合同总价的30%给成交供应商作为预付款；</w:t>
            </w:r>
          </w:p>
          <w:p w14:paraId="5F034D77">
            <w:pPr>
              <w:pStyle w:val="13"/>
              <w:spacing w:line="360" w:lineRule="auto"/>
              <w:rPr>
                <w:rFonts w:hint="eastAsia"/>
                <w:sz w:val="24"/>
                <w:szCs w:val="24"/>
              </w:rPr>
            </w:pPr>
            <w:r>
              <w:rPr>
                <w:rFonts w:hint="eastAsia"/>
                <w:sz w:val="24"/>
                <w:szCs w:val="24"/>
              </w:rPr>
              <w:t>第二期：支付比例70%,项目通过采购人组织的验收并收到发票后15日内，采购人支付合同总价的70%给成交供应商。</w:t>
            </w:r>
          </w:p>
          <w:p w14:paraId="18246715">
            <w:pPr>
              <w:pStyle w:val="13"/>
              <w:spacing w:line="360" w:lineRule="auto"/>
              <w:rPr>
                <w:sz w:val="24"/>
                <w:szCs w:val="24"/>
              </w:rPr>
            </w:pPr>
            <w:r>
              <w:rPr>
                <w:rFonts w:hint="eastAsia"/>
                <w:sz w:val="24"/>
                <w:szCs w:val="24"/>
                <w:lang w:val="en-US" w:eastAsia="zh-CN"/>
              </w:rPr>
              <w:t>备注：</w:t>
            </w:r>
            <w:r>
              <w:rPr>
                <w:rFonts w:hint="eastAsia"/>
                <w:sz w:val="24"/>
                <w:szCs w:val="24"/>
              </w:rPr>
              <w:t>每次付款前，成交供应商须先向采购人出具等额合法发票。收款方与出具发票方的名称，必须与合同签订的双方名称保持完全一致。若出现不一致的情况，采购人有权延迟支付款项。鉴于采购人使用的是财政资金，</w:t>
            </w:r>
            <w:r>
              <w:rPr>
                <w:rFonts w:hint="eastAsia"/>
                <w:sz w:val="24"/>
                <w:szCs w:val="24"/>
                <w:lang w:val="en-US" w:eastAsia="zh-CN"/>
              </w:rPr>
              <w:t>成交供应商</w:t>
            </w:r>
            <w:r>
              <w:rPr>
                <w:rFonts w:hint="eastAsia"/>
                <w:sz w:val="24"/>
                <w:szCs w:val="24"/>
              </w:rPr>
              <w:t>知悉，</w:t>
            </w:r>
            <w:r>
              <w:rPr>
                <w:rFonts w:hint="eastAsia"/>
                <w:sz w:val="24"/>
                <w:szCs w:val="24"/>
                <w:lang w:val="en-US" w:eastAsia="zh-CN"/>
              </w:rPr>
              <w:t>采购人</w:t>
            </w:r>
            <w:r>
              <w:rPr>
                <w:rFonts w:hint="eastAsia"/>
                <w:sz w:val="24"/>
                <w:szCs w:val="24"/>
              </w:rPr>
              <w:t>资金系财政供给，</w:t>
            </w:r>
            <w:r>
              <w:rPr>
                <w:rFonts w:hint="eastAsia"/>
                <w:sz w:val="24"/>
                <w:szCs w:val="24"/>
                <w:lang w:val="en-US" w:eastAsia="zh-CN"/>
              </w:rPr>
              <w:t>成交供应商</w:t>
            </w:r>
            <w:r>
              <w:rPr>
                <w:rFonts w:hint="eastAsia"/>
                <w:sz w:val="24"/>
                <w:szCs w:val="24"/>
              </w:rPr>
              <w:t>同意</w:t>
            </w:r>
            <w:r>
              <w:rPr>
                <w:rFonts w:hint="eastAsia"/>
                <w:sz w:val="24"/>
                <w:szCs w:val="24"/>
                <w:lang w:val="en-US" w:eastAsia="zh-CN"/>
              </w:rPr>
              <w:t>采购人</w:t>
            </w:r>
            <w:r>
              <w:rPr>
                <w:rFonts w:hint="eastAsia"/>
                <w:sz w:val="24"/>
                <w:szCs w:val="24"/>
              </w:rPr>
              <w:t>不因财政等非</w:t>
            </w:r>
            <w:r>
              <w:rPr>
                <w:rFonts w:hint="eastAsia"/>
                <w:sz w:val="24"/>
                <w:szCs w:val="24"/>
                <w:lang w:val="en-US" w:eastAsia="zh-CN"/>
              </w:rPr>
              <w:t>采购人</w:t>
            </w:r>
            <w:r>
              <w:rPr>
                <w:rFonts w:hint="eastAsia"/>
                <w:sz w:val="24"/>
                <w:szCs w:val="24"/>
              </w:rPr>
              <w:t>主观原因迟延支付，而承担违约或损失赔偿责任</w:t>
            </w:r>
          </w:p>
        </w:tc>
      </w:tr>
      <w:tr w14:paraId="0D30A8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6" w:type="pct"/>
            <w:noWrap w:val="0"/>
            <w:vAlign w:val="top"/>
          </w:tcPr>
          <w:p w14:paraId="2CD2D9D6">
            <w:pPr>
              <w:pStyle w:val="13"/>
              <w:spacing w:line="360" w:lineRule="auto"/>
              <w:rPr>
                <w:sz w:val="24"/>
                <w:szCs w:val="24"/>
              </w:rPr>
            </w:pPr>
            <w:r>
              <w:rPr>
                <w:sz w:val="24"/>
                <w:szCs w:val="24"/>
              </w:rPr>
              <w:t>验收要求</w:t>
            </w:r>
          </w:p>
        </w:tc>
        <w:tc>
          <w:tcPr>
            <w:tcW w:w="4213" w:type="pct"/>
            <w:noWrap w:val="0"/>
            <w:vAlign w:val="top"/>
          </w:tcPr>
          <w:p w14:paraId="6D125EF8">
            <w:pPr>
              <w:pStyle w:val="13"/>
              <w:spacing w:line="360" w:lineRule="auto"/>
              <w:rPr>
                <w:rFonts w:hint="eastAsia"/>
                <w:sz w:val="24"/>
                <w:szCs w:val="24"/>
              </w:rPr>
            </w:pPr>
            <w:r>
              <w:rPr>
                <w:rFonts w:hint="eastAsia"/>
                <w:sz w:val="24"/>
                <w:szCs w:val="24"/>
              </w:rPr>
              <w:t>1</w:t>
            </w:r>
            <w:r>
              <w:rPr>
                <w:rFonts w:hint="eastAsia"/>
                <w:sz w:val="24"/>
                <w:szCs w:val="24"/>
                <w:lang w:val="en-US" w:eastAsia="zh-CN"/>
              </w:rPr>
              <w:t>.</w:t>
            </w:r>
            <w:r>
              <w:rPr>
                <w:rFonts w:hint="eastAsia"/>
                <w:sz w:val="24"/>
                <w:szCs w:val="24"/>
              </w:rPr>
              <w:t>严格依据建设要求，逐项核查交付成果的完整性与合规性进行验收。</w:t>
            </w:r>
          </w:p>
          <w:p w14:paraId="0A28E8C7">
            <w:pPr>
              <w:pStyle w:val="13"/>
              <w:spacing w:line="360" w:lineRule="auto"/>
              <w:rPr>
                <w:rFonts w:hint="eastAsia"/>
                <w:sz w:val="24"/>
                <w:szCs w:val="24"/>
              </w:rPr>
            </w:pPr>
            <w:r>
              <w:rPr>
                <w:rFonts w:hint="eastAsia"/>
                <w:sz w:val="24"/>
                <w:szCs w:val="24"/>
              </w:rPr>
              <w:t>2</w:t>
            </w:r>
            <w:r>
              <w:rPr>
                <w:rFonts w:hint="eastAsia"/>
                <w:sz w:val="24"/>
                <w:szCs w:val="24"/>
                <w:lang w:val="en-US" w:eastAsia="zh-CN"/>
              </w:rPr>
              <w:t>.</w:t>
            </w:r>
            <w:r>
              <w:rPr>
                <w:rFonts w:hint="eastAsia"/>
                <w:sz w:val="24"/>
                <w:szCs w:val="24"/>
              </w:rPr>
              <w:t xml:space="preserve">采购人自收到成交供应商提交的验收申请之日起7个工作日内，对照合同条款，对技术标准、服务质量、安全规范等履约情况进行全面验收，并出具确认意见。 </w:t>
            </w:r>
          </w:p>
          <w:p w14:paraId="56F68308">
            <w:pPr>
              <w:pStyle w:val="13"/>
              <w:spacing w:line="360" w:lineRule="auto"/>
              <w:rPr>
                <w:rFonts w:hint="eastAsia"/>
                <w:sz w:val="24"/>
                <w:szCs w:val="24"/>
              </w:rPr>
            </w:pPr>
            <w:r>
              <w:rPr>
                <w:rFonts w:hint="eastAsia"/>
                <w:sz w:val="24"/>
                <w:szCs w:val="24"/>
              </w:rPr>
              <w:t xml:space="preserve">3.验收方式： </w:t>
            </w:r>
          </w:p>
          <w:p w14:paraId="22CBA5A4">
            <w:pPr>
              <w:pStyle w:val="13"/>
              <w:spacing w:line="360" w:lineRule="auto"/>
              <w:rPr>
                <w:rFonts w:hint="eastAsia"/>
                <w:sz w:val="24"/>
                <w:szCs w:val="24"/>
              </w:rPr>
            </w:pPr>
            <w:r>
              <w:rPr>
                <w:rFonts w:hint="eastAsia"/>
                <w:sz w:val="24"/>
                <w:szCs w:val="24"/>
              </w:rPr>
              <w:t xml:space="preserve">（1）验收执行国内现行最新相关技术标准与规范。 </w:t>
            </w:r>
          </w:p>
          <w:p w14:paraId="4312C33E">
            <w:pPr>
              <w:pStyle w:val="13"/>
              <w:spacing w:line="360" w:lineRule="auto"/>
              <w:rPr>
                <w:rFonts w:hint="eastAsia"/>
                <w:sz w:val="24"/>
                <w:szCs w:val="24"/>
              </w:rPr>
            </w:pPr>
            <w:r>
              <w:rPr>
                <w:rFonts w:hint="eastAsia"/>
                <w:sz w:val="24"/>
                <w:szCs w:val="24"/>
              </w:rPr>
              <w:t xml:space="preserve">（2）由成交供应商制定详细验收计划，明确测试内容、流程及方法，经采购人书面确认后方可实施。 </w:t>
            </w:r>
          </w:p>
          <w:p w14:paraId="1AD97F87">
            <w:pPr>
              <w:pStyle w:val="13"/>
              <w:spacing w:line="360" w:lineRule="auto"/>
              <w:rPr>
                <w:rFonts w:hint="eastAsia"/>
                <w:sz w:val="24"/>
                <w:szCs w:val="24"/>
              </w:rPr>
            </w:pPr>
            <w:r>
              <w:rPr>
                <w:rFonts w:hint="eastAsia"/>
                <w:sz w:val="24"/>
                <w:szCs w:val="24"/>
              </w:rPr>
              <w:t xml:space="preserve">（3）全程记录验收测试过程与结果，若发现服务质量、设备性能或功能不符合磋商文件及合同要求，视为验收不合格，采购人有权拒收，并要求成交供应商承担违约责任及赔偿损失。 </w:t>
            </w:r>
          </w:p>
          <w:p w14:paraId="09261B07">
            <w:pPr>
              <w:pStyle w:val="13"/>
              <w:spacing w:line="360" w:lineRule="auto"/>
              <w:rPr>
                <w:sz w:val="24"/>
                <w:szCs w:val="24"/>
              </w:rPr>
            </w:pPr>
            <w:r>
              <w:rPr>
                <w:rFonts w:hint="eastAsia"/>
                <w:sz w:val="24"/>
                <w:szCs w:val="24"/>
              </w:rPr>
              <w:t>（4）成交供应商需提交完整验收交付文档，包括但不限于产品合格证明、第三方检测报告、项目验收报告等，作为验收通过的必备材料。</w:t>
            </w:r>
          </w:p>
        </w:tc>
      </w:tr>
      <w:tr w14:paraId="39C503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6" w:type="pct"/>
            <w:noWrap w:val="0"/>
            <w:vAlign w:val="top"/>
          </w:tcPr>
          <w:p w14:paraId="3AD122EB">
            <w:pPr>
              <w:pStyle w:val="13"/>
              <w:spacing w:line="360" w:lineRule="auto"/>
              <w:rPr>
                <w:rFonts w:hint="eastAsia" w:eastAsia="宋体"/>
                <w:sz w:val="24"/>
                <w:szCs w:val="24"/>
                <w:lang w:val="en-US" w:eastAsia="zh-CN"/>
              </w:rPr>
            </w:pPr>
            <w:r>
              <w:rPr>
                <w:sz w:val="24"/>
                <w:szCs w:val="24"/>
              </w:rPr>
              <w:t>其他</w:t>
            </w:r>
            <w:r>
              <w:rPr>
                <w:rFonts w:hint="eastAsia"/>
                <w:sz w:val="24"/>
                <w:szCs w:val="24"/>
                <w:lang w:val="en-US" w:eastAsia="zh-CN"/>
              </w:rPr>
              <w:t>要求</w:t>
            </w:r>
          </w:p>
        </w:tc>
        <w:tc>
          <w:tcPr>
            <w:tcW w:w="4213" w:type="pct"/>
            <w:noWrap w:val="0"/>
            <w:vAlign w:val="top"/>
          </w:tcPr>
          <w:p w14:paraId="7224456C">
            <w:pPr>
              <w:pStyle w:val="13"/>
              <w:numPr>
                <w:ilvl w:val="0"/>
                <w:numId w:val="0"/>
              </w:numPr>
              <w:spacing w:line="360" w:lineRule="auto"/>
              <w:rPr>
                <w:rFonts w:eastAsia="宋体" w:cs="Times New Roman"/>
                <w:sz w:val="24"/>
                <w:szCs w:val="24"/>
              </w:rPr>
            </w:pPr>
            <w:r>
              <w:rPr>
                <w:rFonts w:hint="eastAsia" w:ascii="Calibri" w:hAnsi="Calibri" w:eastAsia="宋体" w:cs="Times New Roman"/>
                <w:sz w:val="24"/>
                <w:szCs w:val="24"/>
                <w:lang w:val="en-US" w:eastAsia="zh-Hans" w:bidi="ar-SA"/>
              </w:rPr>
              <w:t>1、</w:t>
            </w:r>
            <w:r>
              <w:rPr>
                <w:rFonts w:eastAsia="宋体" w:cs="Times New Roman"/>
                <w:sz w:val="24"/>
                <w:szCs w:val="24"/>
              </w:rPr>
              <w:t>报价要求，报价包含功能服务费、功能调试费、验收费、培训辅导、全额含税发票、雇员费用、第三方服务费、合同实施过程中的应预见或不可预见费用等。</w:t>
            </w:r>
          </w:p>
          <w:p w14:paraId="1DC2D290">
            <w:pPr>
              <w:pStyle w:val="13"/>
              <w:numPr>
                <w:ilvl w:val="0"/>
                <w:numId w:val="0"/>
              </w:numPr>
              <w:spacing w:line="360" w:lineRule="auto"/>
              <w:rPr>
                <w:sz w:val="24"/>
                <w:szCs w:val="24"/>
              </w:rPr>
            </w:pPr>
            <w:r>
              <w:rPr>
                <w:rFonts w:hint="eastAsia" w:ascii="Calibri" w:hAnsi="Calibri"/>
                <w:sz w:val="24"/>
                <w:szCs w:val="24"/>
                <w:lang w:val="en-US" w:eastAsia="zh-Hans" w:bidi="ar-SA"/>
              </w:rPr>
              <w:t>2、</w:t>
            </w:r>
            <w:r>
              <w:rPr>
                <w:rFonts w:hint="eastAsia" w:eastAsia="宋体" w:cs="Times New Roman"/>
                <w:sz w:val="24"/>
                <w:szCs w:val="24"/>
              </w:rPr>
              <w:t>为保证服务质量及售后服务，报价人须在满足所有资格条件及采购需求条件的前提下，按要求进行报价。未按公告要求进行响应的，采购单位可顺延推选符合要求的</w:t>
            </w:r>
            <w:r>
              <w:rPr>
                <w:rFonts w:hint="eastAsia" w:eastAsia="宋体" w:cs="Times New Roman"/>
                <w:sz w:val="24"/>
                <w:szCs w:val="24"/>
                <w:lang w:eastAsia="zh-CN"/>
              </w:rPr>
              <w:t>报价人</w:t>
            </w:r>
            <w:r>
              <w:rPr>
                <w:rFonts w:hint="eastAsia" w:eastAsia="宋体" w:cs="Times New Roman"/>
                <w:sz w:val="24"/>
                <w:szCs w:val="24"/>
              </w:rPr>
              <w:t>作为成交人或重新启动竞价活动。采购公告中需要的佐证材料为加盖公章的PDF版文件作为附件提交，不按公告要求提交材料的，可根据实际情况视为无效报价。</w:t>
            </w:r>
          </w:p>
        </w:tc>
      </w:tr>
    </w:tbl>
    <w:p w14:paraId="2AB992F2">
      <w:pPr>
        <w:spacing w:line="360" w:lineRule="auto"/>
        <w:ind w:firstLine="480" w:firstLineChars="200"/>
        <w:rPr>
          <w:rFonts w:hAnsi="宋体" w:cs="宋体"/>
          <w:sz w:val="24"/>
        </w:rPr>
      </w:pPr>
    </w:p>
    <w:p w14:paraId="57C985C2">
      <w:pPr>
        <w:adjustRightInd w:val="0"/>
        <w:snapToGrid w:val="0"/>
        <w:spacing w:line="360" w:lineRule="auto"/>
        <w:ind w:firstLine="560"/>
        <w:rPr>
          <w:rFonts w:hint="eastAsia" w:ascii="宋体" w:hAnsi="宋体" w:cs="宋体"/>
        </w:rPr>
      </w:pPr>
      <w:r>
        <w:rPr>
          <w:rFonts w:hint="eastAsia" w:ascii="宋体" w:hAnsi="宋体" w:cs="宋体"/>
          <w:b/>
          <w:sz w:val="24"/>
        </w:rPr>
        <w:t>备注：“★”“▲”号条款：凡标有“★”的地方为关键的商务、技术指标要求，必须完全满足这些要求，未达到这些指标要求的将导致投标（响应）无效。标“▲”号的为比较重要的商务、技术指标，未达到这些指标要求的将被严重扣分，但不会导致废标。</w:t>
      </w:r>
      <w:bookmarkStart w:id="8" w:name="_Toc31990"/>
    </w:p>
    <w:bookmarkEnd w:id="5"/>
    <w:bookmarkEnd w:id="8"/>
    <w:p w14:paraId="015C5820">
      <w:pPr>
        <w:spacing w:line="420" w:lineRule="exact"/>
        <w:rPr>
          <w:rFonts w:hint="eastAsia" w:ascii="宋体" w:hAnsi="宋体" w:cs="宋体"/>
          <w:kern w:val="0"/>
          <w:sz w:val="24"/>
        </w:rPr>
      </w:pPr>
    </w:p>
    <w:p w14:paraId="1D06E3D2">
      <w:pPr>
        <w:rPr>
          <w:rFonts w:hint="eastAsia"/>
        </w:rPr>
      </w:pPr>
    </w:p>
    <w:sectPr>
      <w:headerReference r:id="rId3" w:type="default"/>
      <w:footerReference r:id="rId4" w:type="default"/>
      <w:pgSz w:w="11907" w:h="16840"/>
      <w:pgMar w:top="1588" w:right="1021" w:bottom="779" w:left="1134" w:header="737" w:footer="454" w:gutter="0"/>
      <w:cols w:space="720" w:num="1"/>
      <w:rtlGutter w:val="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D"/>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E3A5A">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3F124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23F124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414AF">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16F2FC"/>
    <w:multiLevelType w:val="singleLevel"/>
    <w:tmpl w:val="2F16F2F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E93E78"/>
    <w:rsid w:val="390A3294"/>
    <w:rsid w:val="71E93E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6"/>
    <w:next w:val="1"/>
    <w:qFormat/>
    <w:uiPriority w:val="0"/>
    <w:pPr>
      <w:keepNext/>
      <w:keepLines/>
      <w:spacing w:before="280" w:after="290" w:line="376" w:lineRule="auto"/>
      <w:outlineLvl w:val="3"/>
    </w:pPr>
    <w:rPr>
      <w:rFonts w:ascii="Cambria" w:hAnsi="Cambria"/>
      <w:b w:val="0"/>
      <w:bCs w:val="0"/>
      <w:sz w:val="28"/>
      <w:szCs w:val="28"/>
    </w:rPr>
  </w:style>
  <w:style w:type="paragraph" w:styleId="6">
    <w:name w:val="heading 5"/>
    <w:basedOn w:val="1"/>
    <w:next w:val="1"/>
    <w:qFormat/>
    <w:uiPriority w:val="0"/>
    <w:pPr>
      <w:keepNext/>
      <w:keepLines/>
      <w:spacing w:before="280" w:after="290" w:line="372" w:lineRule="auto"/>
      <w:outlineLvl w:val="4"/>
    </w:pPr>
    <w:rPr>
      <w:rFonts w:ascii="Calibri" w:hAnsi="Calibri"/>
      <w:b/>
      <w:bCs/>
      <w:sz w:val="28"/>
      <w:szCs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7">
    <w:name w:val="toc 3"/>
    <w:basedOn w:val="1"/>
    <w:next w:val="1"/>
    <w:qFormat/>
    <w:uiPriority w:val="39"/>
    <w:pPr>
      <w:ind w:left="420"/>
      <w:jc w:val="left"/>
    </w:pPr>
    <w:rPr>
      <w:rFonts w:ascii="Calibri" w:hAnsi="Calibri"/>
      <w:i/>
      <w:iCs/>
      <w:sz w:val="20"/>
      <w:szCs w:val="20"/>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14747</Words>
  <Characters>15173</Characters>
  <Lines>0</Lines>
  <Paragraphs>0</Paragraphs>
  <TotalTime>0</TotalTime>
  <ScaleCrop>false</ScaleCrop>
  <LinksUpToDate>false</LinksUpToDate>
  <CharactersWithSpaces>15204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2026-08-11T07:38:00Z</dcterms:created>
  <dc:creator>LLL</dc:creator>
  <cp:lastModifiedBy>c1</cp:lastModifiedBy>
  <dcterms:modified xsi:type="dcterms:W3CDTF">2026-08-12T09:06:55Z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6E40F8F1C50741FB96AF8100C9E8B590_11</vt:lpwstr>
  </property>
  <property fmtid="{D5CDD505-2E9C-101B-9397-08002B2CF9AE}" pid="4" name="KSOTemplateDocerSaveRecord">
    <vt:lpwstr>eyJoZGlkIjoiNDAwNmFlMmRlYWIxMjRlYmE4OTEyNDkwYzllZGE5MjQiLCJ1c2VySWQiOiIyMjc4MjExMDMifQ==</vt:lpwstr>
  </property>
</Properties>
</file>