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E0BAC">
      <w:pPr>
        <w:spacing w:line="360" w:lineRule="auto"/>
        <w:jc w:val="center"/>
        <w:rPr>
          <w:rFonts w:hint="eastAsia" w:ascii="宋体" w:hAnsi="宋体" w:eastAsia="宋体" w:cs="宋体"/>
          <w:b/>
          <w:sz w:val="36"/>
          <w:szCs w:val="36"/>
        </w:rPr>
      </w:pPr>
      <w:r>
        <w:rPr>
          <w:rFonts w:hint="eastAsia" w:ascii="宋体" w:hAnsi="宋体" w:cs="宋体"/>
          <w:b/>
          <w:sz w:val="36"/>
          <w:szCs w:val="36"/>
          <w:lang w:val="en-US" w:eastAsia="zh-CN"/>
        </w:rPr>
        <w:t>高水平专业群教学成果提升项目</w:t>
      </w:r>
      <w:r>
        <w:rPr>
          <w:rFonts w:hint="eastAsia" w:ascii="宋体" w:hAnsi="宋体" w:eastAsia="宋体" w:cs="宋体"/>
          <w:b/>
          <w:sz w:val="36"/>
          <w:szCs w:val="36"/>
        </w:rPr>
        <w:t>报价函</w:t>
      </w:r>
    </w:p>
    <w:p w14:paraId="76073621">
      <w:pPr>
        <w:pStyle w:val="7"/>
        <w:rPr>
          <w:rFonts w:hint="eastAsia" w:ascii="宋体" w:hAnsi="宋体" w:eastAsia="宋体" w:cs="宋体"/>
        </w:rPr>
      </w:pPr>
    </w:p>
    <w:p w14:paraId="192672B1">
      <w:pPr>
        <w:spacing w:line="221" w:lineRule="exact"/>
        <w:rPr>
          <w:rFonts w:hint="eastAsia" w:ascii="宋体" w:hAnsi="宋体" w:eastAsia="宋体" w:cs="宋体"/>
        </w:rPr>
      </w:pPr>
    </w:p>
    <w:tbl>
      <w:tblPr>
        <w:tblStyle w:val="8"/>
        <w:tblW w:w="9450"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2459"/>
        <w:gridCol w:w="1616"/>
        <w:gridCol w:w="1701"/>
        <w:gridCol w:w="1730"/>
        <w:gridCol w:w="1295"/>
      </w:tblGrid>
      <w:tr w14:paraId="7064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49" w:type="dxa"/>
            <w:vAlign w:val="center"/>
          </w:tcPr>
          <w:p w14:paraId="02D12742">
            <w:pPr>
              <w:jc w:val="center"/>
              <w:rPr>
                <w:rStyle w:val="13"/>
                <w:rFonts w:hint="eastAsia" w:ascii="宋体" w:hAnsi="宋体" w:eastAsia="宋体" w:cs="宋体"/>
                <w:b/>
              </w:rPr>
            </w:pPr>
            <w:r>
              <w:rPr>
                <w:rStyle w:val="13"/>
                <w:rFonts w:hint="eastAsia" w:ascii="宋体" w:hAnsi="宋体" w:eastAsia="宋体" w:cs="宋体"/>
                <w:b/>
              </w:rPr>
              <w:t>序号</w:t>
            </w:r>
          </w:p>
        </w:tc>
        <w:tc>
          <w:tcPr>
            <w:tcW w:w="2459" w:type="dxa"/>
            <w:vAlign w:val="center"/>
          </w:tcPr>
          <w:p w14:paraId="4CC02A84">
            <w:pPr>
              <w:jc w:val="center"/>
              <w:rPr>
                <w:rStyle w:val="13"/>
                <w:rFonts w:hint="eastAsia" w:ascii="宋体" w:hAnsi="宋体" w:eastAsia="宋体" w:cs="宋体"/>
                <w:b/>
              </w:rPr>
            </w:pPr>
            <w:r>
              <w:rPr>
                <w:rStyle w:val="13"/>
                <w:rFonts w:hint="eastAsia" w:ascii="宋体" w:hAnsi="宋体" w:eastAsia="宋体" w:cs="宋体"/>
                <w:b/>
              </w:rPr>
              <w:t>名称</w:t>
            </w:r>
          </w:p>
        </w:tc>
        <w:tc>
          <w:tcPr>
            <w:tcW w:w="1616" w:type="dxa"/>
            <w:vAlign w:val="center"/>
          </w:tcPr>
          <w:p w14:paraId="54D7650C">
            <w:pPr>
              <w:jc w:val="center"/>
              <w:rPr>
                <w:rStyle w:val="13"/>
                <w:rFonts w:hint="eastAsia" w:ascii="宋体" w:hAnsi="宋体" w:eastAsia="宋体" w:cs="宋体"/>
                <w:b/>
              </w:rPr>
            </w:pPr>
            <w:r>
              <w:rPr>
                <w:rStyle w:val="13"/>
                <w:rFonts w:hint="eastAsia" w:ascii="宋体" w:hAnsi="宋体" w:eastAsia="宋体" w:cs="宋体"/>
                <w:b/>
              </w:rPr>
              <w:t>采购内容</w:t>
            </w:r>
          </w:p>
        </w:tc>
        <w:tc>
          <w:tcPr>
            <w:tcW w:w="1701" w:type="dxa"/>
            <w:vAlign w:val="center"/>
          </w:tcPr>
          <w:p w14:paraId="790692FD">
            <w:pPr>
              <w:jc w:val="center"/>
              <w:rPr>
                <w:rStyle w:val="13"/>
                <w:rFonts w:hint="eastAsia" w:ascii="宋体" w:hAnsi="宋体" w:eastAsia="宋体" w:cs="宋体"/>
                <w:b/>
              </w:rPr>
            </w:pPr>
            <w:r>
              <w:rPr>
                <w:rStyle w:val="13"/>
                <w:rFonts w:hint="eastAsia" w:ascii="宋体" w:hAnsi="宋体" w:eastAsia="宋体" w:cs="宋体"/>
                <w:b/>
              </w:rPr>
              <w:t>技术要求</w:t>
            </w:r>
          </w:p>
        </w:tc>
        <w:tc>
          <w:tcPr>
            <w:tcW w:w="1730" w:type="dxa"/>
            <w:vAlign w:val="center"/>
          </w:tcPr>
          <w:p w14:paraId="20BE2086">
            <w:pPr>
              <w:jc w:val="center"/>
              <w:rPr>
                <w:rStyle w:val="13"/>
                <w:rFonts w:hint="default" w:ascii="宋体" w:hAnsi="宋体" w:eastAsia="宋体" w:cs="宋体"/>
                <w:b/>
                <w:lang w:val="en-US" w:eastAsia="zh-CN"/>
              </w:rPr>
            </w:pPr>
            <w:r>
              <w:rPr>
                <w:rStyle w:val="13"/>
                <w:rFonts w:hint="eastAsia" w:ascii="宋体" w:hAnsi="宋体" w:cs="宋体"/>
                <w:b/>
                <w:lang w:val="en-US" w:eastAsia="zh-CN"/>
              </w:rPr>
              <w:t>报价要求（元）</w:t>
            </w:r>
          </w:p>
        </w:tc>
        <w:tc>
          <w:tcPr>
            <w:tcW w:w="1295" w:type="dxa"/>
            <w:vAlign w:val="center"/>
          </w:tcPr>
          <w:p w14:paraId="4CFB0897">
            <w:pPr>
              <w:jc w:val="center"/>
              <w:rPr>
                <w:rStyle w:val="13"/>
                <w:rFonts w:hint="eastAsia" w:ascii="宋体" w:hAnsi="宋体" w:eastAsia="宋体" w:cs="宋体"/>
                <w:b/>
                <w:lang w:eastAsia="zh-CN"/>
              </w:rPr>
            </w:pPr>
            <w:r>
              <w:rPr>
                <w:rStyle w:val="13"/>
                <w:rFonts w:hint="eastAsia" w:ascii="宋体" w:hAnsi="宋体" w:eastAsia="宋体" w:cs="宋体"/>
                <w:b/>
                <w:lang w:eastAsia="zh-CN"/>
              </w:rPr>
              <w:t>备注</w:t>
            </w:r>
          </w:p>
        </w:tc>
      </w:tr>
      <w:tr w14:paraId="695B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649" w:type="dxa"/>
            <w:vAlign w:val="center"/>
          </w:tcPr>
          <w:p w14:paraId="6DC3C2D0">
            <w:pPr>
              <w:spacing w:line="360" w:lineRule="auto"/>
              <w:jc w:val="center"/>
              <w:rPr>
                <w:rStyle w:val="13"/>
                <w:rFonts w:hint="eastAsia" w:ascii="宋体" w:hAnsi="宋体" w:eastAsia="宋体" w:cs="宋体"/>
              </w:rPr>
            </w:pPr>
            <w:r>
              <w:rPr>
                <w:rStyle w:val="13"/>
                <w:rFonts w:hint="eastAsia" w:ascii="宋体" w:hAnsi="宋体" w:eastAsia="宋体" w:cs="宋体"/>
              </w:rPr>
              <w:t>1</w:t>
            </w:r>
          </w:p>
        </w:tc>
        <w:tc>
          <w:tcPr>
            <w:tcW w:w="2459" w:type="dxa"/>
            <w:vAlign w:val="center"/>
          </w:tcPr>
          <w:p w14:paraId="1548C415">
            <w:pPr>
              <w:spacing w:line="360" w:lineRule="auto"/>
              <w:jc w:val="center"/>
              <w:rPr>
                <w:rStyle w:val="13"/>
                <w:rFonts w:hint="eastAsia" w:ascii="宋体" w:hAnsi="宋体" w:eastAsia="宋体" w:cs="宋体"/>
                <w:lang w:eastAsia="zh-CN"/>
              </w:rPr>
            </w:pPr>
            <w:r>
              <w:rPr>
                <w:rStyle w:val="13"/>
                <w:rFonts w:hint="eastAsia" w:ascii="宋体" w:hAnsi="宋体" w:eastAsia="宋体" w:cs="宋体"/>
                <w:lang w:eastAsia="zh-CN"/>
              </w:rPr>
              <w:t>高水平专业群教学成果提升项目</w:t>
            </w:r>
          </w:p>
        </w:tc>
        <w:tc>
          <w:tcPr>
            <w:tcW w:w="1616" w:type="dxa"/>
            <w:vAlign w:val="center"/>
          </w:tcPr>
          <w:p w14:paraId="48AC3458">
            <w:pPr>
              <w:spacing w:line="360" w:lineRule="auto"/>
              <w:jc w:val="center"/>
              <w:rPr>
                <w:rStyle w:val="13"/>
                <w:rFonts w:hint="default" w:ascii="宋体" w:hAnsi="宋体" w:eastAsia="宋体" w:cs="宋体"/>
                <w:lang w:val="en-US"/>
              </w:rPr>
            </w:pPr>
            <w:r>
              <w:rPr>
                <w:rStyle w:val="13"/>
                <w:rFonts w:hint="eastAsia" w:ascii="宋体" w:hAnsi="宋体" w:eastAsia="宋体" w:cs="宋体"/>
              </w:rPr>
              <w:t>详见</w:t>
            </w:r>
            <w:r>
              <w:rPr>
                <w:rStyle w:val="13"/>
                <w:rFonts w:hint="eastAsia" w:ascii="宋体" w:hAnsi="宋体" w:eastAsia="宋体" w:cs="宋体"/>
                <w:lang w:eastAsia="zh-CN"/>
              </w:rPr>
              <w:t>附件</w:t>
            </w:r>
            <w:r>
              <w:rPr>
                <w:rStyle w:val="13"/>
                <w:rFonts w:hint="eastAsia" w:ascii="宋体" w:hAnsi="宋体" w:cs="宋体"/>
                <w:lang w:val="en-US" w:eastAsia="zh-CN"/>
              </w:rPr>
              <w:t>2</w:t>
            </w:r>
          </w:p>
        </w:tc>
        <w:tc>
          <w:tcPr>
            <w:tcW w:w="1701" w:type="dxa"/>
            <w:vAlign w:val="center"/>
          </w:tcPr>
          <w:p w14:paraId="5B78C79B">
            <w:pPr>
              <w:spacing w:line="360" w:lineRule="auto"/>
              <w:jc w:val="center"/>
              <w:rPr>
                <w:rStyle w:val="13"/>
                <w:rFonts w:hint="eastAsia" w:ascii="宋体" w:hAnsi="宋体" w:eastAsia="宋体" w:cs="宋体"/>
                <w:lang w:val="en-US" w:eastAsia="zh-CN"/>
              </w:rPr>
            </w:pPr>
            <w:r>
              <w:rPr>
                <w:rStyle w:val="13"/>
                <w:rFonts w:hint="eastAsia" w:ascii="宋体" w:hAnsi="宋体" w:eastAsia="宋体" w:cs="宋体"/>
              </w:rPr>
              <w:t>详见</w:t>
            </w:r>
            <w:r>
              <w:rPr>
                <w:rStyle w:val="13"/>
                <w:rFonts w:hint="eastAsia" w:ascii="宋体" w:hAnsi="宋体" w:eastAsia="宋体" w:cs="宋体"/>
                <w:lang w:eastAsia="zh-CN"/>
              </w:rPr>
              <w:t>附件</w:t>
            </w:r>
            <w:r>
              <w:rPr>
                <w:rStyle w:val="13"/>
                <w:rFonts w:hint="eastAsia" w:ascii="宋体" w:hAnsi="宋体" w:cs="宋体"/>
                <w:lang w:val="en-US" w:eastAsia="zh-CN"/>
              </w:rPr>
              <w:t>2</w:t>
            </w:r>
          </w:p>
        </w:tc>
        <w:tc>
          <w:tcPr>
            <w:tcW w:w="1730" w:type="dxa"/>
          </w:tcPr>
          <w:p w14:paraId="2B817248">
            <w:pPr>
              <w:spacing w:line="360" w:lineRule="auto"/>
              <w:jc w:val="center"/>
              <w:rPr>
                <w:rStyle w:val="13"/>
                <w:rFonts w:hint="eastAsia" w:ascii="宋体" w:hAnsi="宋体" w:eastAsia="宋体" w:cs="宋体"/>
              </w:rPr>
            </w:pPr>
          </w:p>
        </w:tc>
        <w:tc>
          <w:tcPr>
            <w:tcW w:w="1295" w:type="dxa"/>
          </w:tcPr>
          <w:p w14:paraId="23CBEC92">
            <w:pPr>
              <w:rPr>
                <w:rStyle w:val="13"/>
                <w:rFonts w:hint="default" w:ascii="宋体" w:hAnsi="宋体" w:eastAsia="宋体" w:cs="宋体"/>
                <w:lang w:val="en-US" w:eastAsia="zh-CN"/>
              </w:rPr>
            </w:pPr>
          </w:p>
        </w:tc>
      </w:tr>
    </w:tbl>
    <w:p w14:paraId="1DD674C1">
      <w:pPr>
        <w:spacing w:line="221" w:lineRule="exact"/>
        <w:rPr>
          <w:rFonts w:hint="eastAsia" w:ascii="宋体" w:hAnsi="宋体" w:eastAsia="宋体" w:cs="宋体"/>
        </w:rPr>
      </w:pPr>
    </w:p>
    <w:p w14:paraId="0170C956">
      <w:pPr>
        <w:spacing w:line="221" w:lineRule="exact"/>
        <w:rPr>
          <w:rFonts w:hint="eastAsia" w:ascii="宋体" w:hAnsi="宋体" w:eastAsia="宋体" w:cs="宋体"/>
        </w:rPr>
      </w:pPr>
    </w:p>
    <w:p w14:paraId="4FA5D912">
      <w:pPr>
        <w:wordWrap w:val="0"/>
        <w:spacing w:line="500" w:lineRule="exact"/>
        <w:ind w:left="504" w:leftChars="240"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rPr>
        <w:t xml:space="preserve">        报价单位（盖章）：</w:t>
      </w:r>
      <w:r>
        <w:rPr>
          <w:rFonts w:hint="eastAsia" w:ascii="宋体" w:hAnsi="宋体" w:eastAsia="宋体" w:cs="宋体"/>
          <w:sz w:val="24"/>
          <w:szCs w:val="24"/>
          <w:lang w:val="en-US" w:eastAsia="zh-CN"/>
        </w:rPr>
        <w:t xml:space="preserve">                   </w:t>
      </w:r>
    </w:p>
    <w:p w14:paraId="5ED089C6">
      <w:pPr>
        <w:wordWrap w:val="0"/>
        <w:spacing w:line="500" w:lineRule="exact"/>
        <w:ind w:left="504" w:leftChars="240"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rPr>
        <w:t>联系人：</w:t>
      </w:r>
      <w:r>
        <w:rPr>
          <w:rFonts w:hint="eastAsia" w:ascii="宋体" w:hAnsi="宋体" w:eastAsia="宋体" w:cs="宋体"/>
          <w:sz w:val="24"/>
          <w:szCs w:val="24"/>
          <w:lang w:val="en-US" w:eastAsia="zh-CN"/>
        </w:rPr>
        <w:t xml:space="preserve">          </w:t>
      </w:r>
    </w:p>
    <w:p w14:paraId="2A0DB586">
      <w:pPr>
        <w:wordWrap w:val="0"/>
        <w:spacing w:line="500" w:lineRule="exact"/>
        <w:ind w:left="504" w:leftChars="240"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rPr>
        <w:t>联系方式：</w:t>
      </w:r>
      <w:r>
        <w:rPr>
          <w:rFonts w:hint="eastAsia" w:ascii="宋体" w:hAnsi="宋体" w:eastAsia="宋体" w:cs="宋体"/>
          <w:sz w:val="24"/>
          <w:szCs w:val="24"/>
          <w:lang w:val="en-US" w:eastAsia="zh-CN"/>
        </w:rPr>
        <w:t xml:space="preserve">          </w:t>
      </w:r>
    </w:p>
    <w:p w14:paraId="21DBBAEF">
      <w:pPr>
        <w:spacing w:line="500" w:lineRule="exact"/>
        <w:ind w:left="504" w:leftChars="240" w:firstLine="480" w:firstLineChars="200"/>
        <w:jc w:val="right"/>
        <w:rPr>
          <w:rFonts w:hint="eastAsia" w:ascii="宋体" w:hAnsi="宋体" w:eastAsia="宋体" w:cs="宋体"/>
          <w:sz w:val="24"/>
          <w:szCs w:val="24"/>
        </w:rPr>
      </w:pPr>
      <w:r>
        <w:rPr>
          <w:rFonts w:hint="eastAsia" w:ascii="宋体" w:hAnsi="宋体" w:eastAsia="宋体" w:cs="宋体"/>
          <w:sz w:val="24"/>
          <w:szCs w:val="24"/>
        </w:rPr>
        <w:br w:type="page"/>
      </w:r>
    </w:p>
    <w:p w14:paraId="391478F3">
      <w:pPr>
        <w:pStyle w:val="7"/>
        <w:ind w:left="0" w:leftChars="0" w:firstLine="0" w:firstLineChars="0"/>
        <w:rPr>
          <w:rStyle w:val="13"/>
          <w:rFonts w:hint="eastAsia" w:ascii="宋体" w:hAnsi="宋体" w:eastAsia="宋体" w:cs="宋体"/>
          <w:lang w:val="en-US" w:eastAsia="zh-CN"/>
        </w:rPr>
      </w:pPr>
      <w:r>
        <w:rPr>
          <w:rStyle w:val="13"/>
          <w:rFonts w:hint="eastAsia" w:ascii="宋体" w:hAnsi="宋体" w:eastAsia="宋体" w:cs="宋体"/>
          <w:lang w:eastAsia="zh-CN"/>
        </w:rPr>
        <w:t>附件</w:t>
      </w:r>
      <w:r>
        <w:rPr>
          <w:rStyle w:val="13"/>
          <w:rFonts w:hint="eastAsia" w:ascii="宋体" w:hAnsi="宋体" w:eastAsia="宋体" w:cs="宋体"/>
          <w:lang w:val="en-US" w:eastAsia="zh-CN"/>
        </w:rPr>
        <w:t>1：营业执照</w:t>
      </w:r>
    </w:p>
    <w:p w14:paraId="304DE082">
      <w:pPr>
        <w:rPr>
          <w:rStyle w:val="13"/>
          <w:rFonts w:hint="eastAsia" w:ascii="宋体" w:hAnsi="宋体" w:eastAsia="宋体" w:cs="宋体"/>
          <w:lang w:val="en-US" w:eastAsia="zh-CN"/>
        </w:rPr>
      </w:pPr>
    </w:p>
    <w:p w14:paraId="35D7A0D1">
      <w:pPr>
        <w:rPr>
          <w:rStyle w:val="13"/>
          <w:rFonts w:hint="eastAsia" w:ascii="宋体" w:hAnsi="宋体" w:eastAsia="宋体" w:cs="宋体"/>
          <w:lang w:val="en-US" w:eastAsia="zh-CN"/>
        </w:rPr>
      </w:pPr>
      <w:r>
        <w:rPr>
          <w:rStyle w:val="13"/>
          <w:rFonts w:hint="eastAsia" w:ascii="宋体" w:hAnsi="宋体" w:eastAsia="宋体" w:cs="宋体"/>
          <w:lang w:val="en-US" w:eastAsia="zh-CN"/>
        </w:rPr>
        <w:br w:type="page"/>
      </w:r>
    </w:p>
    <w:p w14:paraId="51F5D4D5">
      <w:pPr>
        <w:rPr>
          <w:rStyle w:val="13"/>
          <w:rFonts w:hint="eastAsia" w:ascii="宋体" w:hAnsi="宋体" w:cs="宋体"/>
          <w:lang w:val="en-US" w:eastAsia="zh-CN"/>
        </w:rPr>
      </w:pPr>
      <w:r>
        <w:rPr>
          <w:rStyle w:val="13"/>
          <w:rFonts w:hint="eastAsia" w:ascii="宋体" w:hAnsi="宋体" w:eastAsia="宋体" w:cs="宋体"/>
          <w:lang w:eastAsia="zh-CN"/>
        </w:rPr>
        <w:t>附件</w:t>
      </w:r>
      <w:r>
        <w:rPr>
          <w:rStyle w:val="13"/>
          <w:rFonts w:hint="eastAsia" w:ascii="宋体" w:hAnsi="宋体" w:cs="宋体"/>
          <w:lang w:val="en-US" w:eastAsia="zh-CN"/>
        </w:rPr>
        <w:t>2:具体参数</w:t>
      </w:r>
    </w:p>
    <w:tbl>
      <w:tblPr>
        <w:tblStyle w:val="8"/>
        <w:tblW w:w="9422"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15"/>
        <w:gridCol w:w="8707"/>
      </w:tblGrid>
      <w:tr w14:paraId="6869E3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4" w:hRule="atLeast"/>
          <w:jc w:val="center"/>
        </w:trPr>
        <w:tc>
          <w:tcPr>
            <w:tcW w:w="715" w:type="dxa"/>
            <w:vAlign w:val="center"/>
          </w:tcPr>
          <w:p w14:paraId="5DEB3E0C">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8707" w:type="dxa"/>
            <w:vAlign w:val="center"/>
          </w:tcPr>
          <w:p w14:paraId="33A9A7C5">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具体技术（参数）要求</w:t>
            </w:r>
          </w:p>
        </w:tc>
      </w:tr>
      <w:tr w14:paraId="75524B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9" w:hRule="atLeast"/>
          <w:jc w:val="center"/>
        </w:trPr>
        <w:tc>
          <w:tcPr>
            <w:tcW w:w="715" w:type="dxa"/>
            <w:vAlign w:val="center"/>
          </w:tcPr>
          <w:p w14:paraId="5DC3A515">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8707" w:type="dxa"/>
            <w:vAlign w:val="center"/>
          </w:tcPr>
          <w:p w14:paraId="7F65041E">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（一）课程资源出海及国际化</w:t>
            </w:r>
          </w:p>
          <w:p w14:paraId="1F73D2B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紧扣“职教出海”重点任务，以专业群课程为核心载体，打造可输出、可认证的国际化职业教育课程1门。</w:t>
            </w:r>
          </w:p>
          <w:p w14:paraId="02E679E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实现优质职教资源跨境输出，提升学院国际影响力。获取目标国家教育主管部门正式出具的课程认证证书，实现课程官方认可。</w:t>
            </w:r>
          </w:p>
          <w:p w14:paraId="2DF5136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1.质量审核</w:t>
            </w:r>
          </w:p>
          <w:p w14:paraId="46C98BB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课程文本、教学资源及输出材料均由专业外语语言专家与资深教育工作者组成审核团队，开展多维度、全覆盖、闭环式质量审核。重点围绕语言规范性、翻译准确性、文化适宜性、意识形态安全、跨文化风险防控、课程逻辑结构、教学流程合理性、职业教育适配性等方面进行严格审查，全面排查并消除文化敏感内容、表述歧义与教学逻辑漏洞，确保课程内容符合目标国家教育政策与文化习俗，教学体系科学严谨、符合海外学习者认知规律。审核完成后，向采购人反馈审核意见，明确审核结论、问题整改情况与质量达标意见，为课程国际化输出、官方认证申报及海外线下授课提供可靠的质量保障。</w:t>
            </w:r>
          </w:p>
          <w:p w14:paraId="5E6B050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2.课程认证</w:t>
            </w:r>
          </w:p>
          <w:p w14:paraId="70A5E81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（1）课程认证申报支撑：按目标国家教育主管部门或相关政府部门官方要求，编制并提交课程认证标准申请材料1 套（含课程标准、教学大纲、师资说明、考核方案、课程资源及合规性文件）；如需官方评审答辩，配套提供线上答辩组织与技术支撑服务1 项，确保申报流程顺畅。</w:t>
            </w:r>
          </w:p>
          <w:p w14:paraId="0FB2F92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（2）认证证书：取得目标国家教育主管部门或相关政府部门正式出具的课程认证证书（认证函 / 认可文件）1 份，作为课程境外合法落地、海外教学实施的有效依据。</w:t>
            </w:r>
          </w:p>
        </w:tc>
      </w:tr>
      <w:tr w14:paraId="6BEC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715" w:type="dxa"/>
            <w:tcMar>
              <w:top w:w="12" w:type="dxa"/>
              <w:left w:w="12" w:type="dxa"/>
              <w:right w:w="12" w:type="dxa"/>
            </w:tcMar>
            <w:vAlign w:val="center"/>
          </w:tcPr>
          <w:p w14:paraId="63B5B4AF">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8707" w:type="dxa"/>
            <w:tcMar>
              <w:top w:w="12" w:type="dxa"/>
              <w:left w:w="12" w:type="dxa"/>
              <w:right w:w="12" w:type="dxa"/>
            </w:tcMar>
            <w:vAlign w:val="center"/>
          </w:tcPr>
          <w:p w14:paraId="0C40FC56">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（二）国家智慧教育平台终身教育课程资源上线</w:t>
            </w:r>
          </w:p>
          <w:p w14:paraId="58855A9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1.课程改造</w:t>
            </w:r>
          </w:p>
          <w:p w14:paraId="700EF99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（1）教学设计</w:t>
            </w:r>
          </w:p>
          <w:p w14:paraId="7746ED2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根据国家级终身教育课程遴选标准，协助课程教师团队进行教学设计，每门课程完成课程设计稿不少于5个，提供课程改造方案1项。</w:t>
            </w:r>
          </w:p>
          <w:p w14:paraId="2D5DE62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（2）视频资源改造</w:t>
            </w:r>
          </w:p>
          <w:p w14:paraId="491C92F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对每门课程的现有课程视频资源改造5讲，形式包括真人单人讲授式、多人讨论式、情景互动式等；利用多媒体技术手段，添加字幕、图表、图片、PPT、动画等素材进行辅助教学，激发学习者的学习兴趣。</w:t>
            </w:r>
          </w:p>
          <w:p w14:paraId="6485F0A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（3）智能审校</w:t>
            </w:r>
          </w:p>
          <w:p w14:paraId="4BF97DF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为保障课程内容符合国家终身教育智慧教育平台的各项要求，对已经完成的课程资源进行审校，审校系统语料库与国家主流媒体审核语料库深度融合。提供审校报告1份。</w:t>
            </w:r>
          </w:p>
          <w:p w14:paraId="4FF2AC5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（4）课程运维与推广</w:t>
            </w:r>
          </w:p>
          <w:p w14:paraId="7C922CB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参加终身教育数字化学习资源征集活动，上线国家终身教育智慧教育平台。</w:t>
            </w:r>
          </w:p>
          <w:p w14:paraId="352D81F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2.技术参数</w:t>
            </w:r>
          </w:p>
          <w:p w14:paraId="3A26944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（1）视频制作规格</w:t>
            </w:r>
          </w:p>
          <w:p w14:paraId="674918D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①视频构图、配色</w:t>
            </w:r>
          </w:p>
          <w:p w14:paraId="3D947EE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画面构图合理，画面主体突出。除了普通的出镜讲解之外，与课程内容相符合的教具实拍、实验实拍、抠像动画、抠像PPT、虚拟背景等形式，要满足画面的主体与构图合理，内容与教学目标相吻合。</w:t>
            </w:r>
          </w:p>
          <w:p w14:paraId="2BD8F5C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微课的背景配色与课程内容相匹配，可以是彩色喷绘、电脑虚拟或现场实景等背景。背景的颜色、图案不宜过多，保持静态，画面简洁、明快，利于营造好的学习气氛。</w:t>
            </w:r>
          </w:p>
          <w:p w14:paraId="730A56D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②课程声音效果</w:t>
            </w:r>
          </w:p>
          <w:p w14:paraId="5BE6730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声音和画面同步。双声道。声音无明显失真、无明显噪音、回声或其它杂音，无音量忽大忽小现象。伴音清晰、饱满、圆润，解说声与现场声无明显比例失调，解说声与背景音乐无明显比例失调。背景音乐需要与课程学习相匹配，与教师声音、配音以及其他音频资料，整体和谐。无其它声音质量问题。</w:t>
            </w:r>
          </w:p>
          <w:p w14:paraId="0FC753A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（2）视频剪辑与包装</w:t>
            </w:r>
          </w:p>
          <w:p w14:paraId="7FFAAC8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①视频剪辑</w:t>
            </w:r>
          </w:p>
          <w:p w14:paraId="310E9D4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视频编码方式:视频压缩采用H.264/AVC编码方式，封装格式采用MP4。</w:t>
            </w:r>
          </w:p>
          <w:p w14:paraId="0683A9A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视频分辨率:画面宽高比16:9，分辨率不低于1280x720，建议采用1920×1080分辨率。</w:t>
            </w:r>
          </w:p>
          <w:p w14:paraId="070EBB7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视频码率:码率不低于5Mbps， 建议采用8Mbps码率。(bps:每秒比特数)</w:t>
            </w:r>
          </w:p>
          <w:p w14:paraId="49208DF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视频帧率: PAL制，25帧/秒，扫描方式为逐行扫描。</w:t>
            </w:r>
          </w:p>
          <w:p w14:paraId="19D0F3E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图像效果: 图像不过亮、过暗; 人、物移动时无拖影、耀光现象; 图像无抖动跳跃，色彩无突变，编辑点处图像稳定，画面剪辑衔接自然，无空白帧。</w:t>
            </w:r>
          </w:p>
          <w:p w14:paraId="49EBA60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白平衡正确，无明显偏色。</w:t>
            </w:r>
          </w:p>
          <w:p w14:paraId="4A34F56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无其它图像质量问题。</w:t>
            </w:r>
          </w:p>
          <w:p w14:paraId="1A54BD5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音频编码:采用高级音频编码AAC (Advanced Audio Coding)。</w:t>
            </w:r>
          </w:p>
          <w:p w14:paraId="3F1E6DF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音频采样率:不低于48KHz。</w:t>
            </w:r>
          </w:p>
          <w:p w14:paraId="50F6120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音频码流率:建议不低于128Kbps。</w:t>
            </w:r>
          </w:p>
          <w:p w14:paraId="548FCB4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音频信噪比：不低于48db。</w:t>
            </w:r>
          </w:p>
          <w:p w14:paraId="06FD9DB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②视频包装</w:t>
            </w:r>
          </w:p>
          <w:p w14:paraId="5E7A252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视频素材：用于课程的视频、图片等资料，须与课程视频分辨率相匹配。若用PPT作为素材的，PPT的宽高比设置为16:9，排版美观，画面和谐精美。</w:t>
            </w:r>
          </w:p>
          <w:p w14:paraId="090EC58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3.课程呈现</w:t>
            </w:r>
          </w:p>
          <w:p w14:paraId="06665E4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▲（1）支持按课程内容快速开发微实训，适配表单填写、凭证填写、虚拟工具操作等多种实训形态。</w:t>
            </w:r>
          </w:p>
          <w:p w14:paraId="2E826E1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（2）支持教师自定义创建微实训，自定义实训名称、实训要求、实训内容等。</w:t>
            </w:r>
          </w:p>
          <w:p w14:paraId="2130A7E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（3）支持同一账号下多课程微实训统一管理，平台内一站式操作。</w:t>
            </w:r>
          </w:p>
          <w:p w14:paraId="624E3F5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（4）内置实训工具调用接口，支持对接第三方实训组件与校内教学资源。</w:t>
            </w:r>
          </w:p>
          <w:p w14:paraId="7453427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▲（5）提供可视化实训配置界面，支持拖拽式实训流程设计，零代码快速搭建实训任务。</w:t>
            </w:r>
          </w:p>
        </w:tc>
      </w:tr>
      <w:tr w14:paraId="2042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715" w:type="dxa"/>
            <w:tcMar>
              <w:top w:w="12" w:type="dxa"/>
              <w:left w:w="12" w:type="dxa"/>
              <w:right w:w="12" w:type="dxa"/>
            </w:tcMar>
            <w:vAlign w:val="center"/>
          </w:tcPr>
          <w:p w14:paraId="0B0354B9">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p>
        </w:tc>
        <w:tc>
          <w:tcPr>
            <w:tcW w:w="8707" w:type="dxa"/>
            <w:tcMar>
              <w:top w:w="12" w:type="dxa"/>
              <w:left w:w="12" w:type="dxa"/>
              <w:right w:w="12" w:type="dxa"/>
            </w:tcMar>
            <w:vAlign w:val="center"/>
          </w:tcPr>
          <w:p w14:paraId="1577615C">
            <w:pPr>
              <w:numPr>
                <w:ilvl w:val="0"/>
                <w:numId w:val="1"/>
              </w:num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思政示范课推广</w:t>
            </w:r>
          </w:p>
          <w:p w14:paraId="1285805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1.概况</w:t>
            </w:r>
          </w:p>
          <w:p w14:paraId="544F167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学校课程思政典型案例打造要求，为学校课程思政示范课程提供建设展示服务，加强课程思政优质资源的共享共用。通过理论与推广的双轮驱动模式，有效推动学校课程思政好经验好做法的输出，推动学校课程思政建设成果固化，将学校课程思政建设成果辐射至全国，发挥示范引领作用。</w:t>
            </w:r>
          </w:p>
          <w:p w14:paraId="4D774E0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2.示范课程推广要求</w:t>
            </w:r>
          </w:p>
          <w:p w14:paraId="2DEF14E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（1）审查要求</w:t>
            </w:r>
          </w:p>
          <w:p w14:paraId="22139B4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确保教学视频及说课程视频的正确舆论导向及专业性，需配备专业编审团队对课程内容进行审查，确保政治正确及视频的专业性和准确性。审查修改无误后根据示范课程建设标准整理提交交付资料，包括教学设计、教学视频、说课视频、教学课件、课程封面。</w:t>
            </w:r>
          </w:p>
          <w:p w14:paraId="66F8EA2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（2）平台上线推广服务要求</w:t>
            </w:r>
          </w:p>
          <w:p w14:paraId="56231309">
            <w:pPr>
              <w:spacing w:line="360" w:lineRule="auto"/>
              <w:ind w:firstLine="480" w:firstLineChars="200"/>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供应商应具备可为采购人课程思政建设成果推广的能力，推动学院课程建设成果的经验分享。建设完成的课程思政示</w:t>
            </w:r>
            <w:bookmarkStart w:id="0" w:name="_GoBack"/>
            <w:bookmarkEnd w:id="0"/>
            <w:r>
              <w:rPr>
                <w:rFonts w:hint="eastAsia" w:ascii="宋体" w:hAnsi="宋体" w:eastAsia="宋体" w:cs="宋体"/>
                <w:color w:val="auto"/>
                <w:sz w:val="24"/>
                <w:szCs w:val="24"/>
                <w:highlight w:val="none"/>
              </w:rPr>
              <w:t>范课程需在国内权威（如爱课程网、“智慧职教”网、新华网“新华思政”等）课程思政资源展示平台进行发布推广，并为优秀课程思政示范课提供上线证明材料。</w:t>
            </w:r>
          </w:p>
        </w:tc>
      </w:tr>
      <w:tr w14:paraId="3EA6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wAfter w:w="0" w:type="auto"/>
          <w:trHeight w:val="401" w:hRule="atLeast"/>
          <w:jc w:val="center"/>
        </w:trPr>
        <w:tc>
          <w:tcPr>
            <w:tcW w:w="9422" w:type="dxa"/>
            <w:gridSpan w:val="2"/>
            <w:tcMar>
              <w:top w:w="12" w:type="dxa"/>
              <w:left w:w="12" w:type="dxa"/>
              <w:right w:w="12" w:type="dxa"/>
            </w:tcMar>
            <w:vAlign w:val="center"/>
          </w:tcPr>
          <w:p w14:paraId="1BD75FA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打“★”号条款为实质性条款，若有任何一条负偏离或不满足则导致投标无效。</w:t>
            </w:r>
          </w:p>
          <w:p w14:paraId="2C9F908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打“▲”号条款为重要技术参数，若有部分“▲”条款未响应或不满足，将导致其响应性评审加重扣分，但不作为无效投标条款。</w:t>
            </w:r>
          </w:p>
        </w:tc>
      </w:tr>
    </w:tbl>
    <w:p w14:paraId="2019FC60">
      <w:pPr>
        <w:rPr>
          <w:rStyle w:val="13"/>
          <w:rFonts w:hint="eastAsia" w:ascii="宋体" w:hAnsi="宋体" w:eastAsia="宋体" w:cs="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3B57D9"/>
    <w:multiLevelType w:val="singleLevel"/>
    <w:tmpl w:val="6B3B57D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jZmEwOGYwM2FmZjFjMDQyNmQyZmJmZWZmMjcxMDQifQ=="/>
  </w:docVars>
  <w:rsids>
    <w:rsidRoot w:val="00000000"/>
    <w:rsid w:val="00E46AD2"/>
    <w:rsid w:val="014E1599"/>
    <w:rsid w:val="01586CAE"/>
    <w:rsid w:val="04274D7A"/>
    <w:rsid w:val="07DA3B6F"/>
    <w:rsid w:val="09436690"/>
    <w:rsid w:val="099C263F"/>
    <w:rsid w:val="0AA479FE"/>
    <w:rsid w:val="0AB063A2"/>
    <w:rsid w:val="0C8C4E6A"/>
    <w:rsid w:val="0F3E087B"/>
    <w:rsid w:val="0F5E5722"/>
    <w:rsid w:val="1452128F"/>
    <w:rsid w:val="19C63258"/>
    <w:rsid w:val="1D9C2305"/>
    <w:rsid w:val="1FA4694F"/>
    <w:rsid w:val="25A34875"/>
    <w:rsid w:val="2C3A54B1"/>
    <w:rsid w:val="3257362D"/>
    <w:rsid w:val="36AC4B0D"/>
    <w:rsid w:val="373561AE"/>
    <w:rsid w:val="37C404E8"/>
    <w:rsid w:val="389A2654"/>
    <w:rsid w:val="3A7C5D33"/>
    <w:rsid w:val="3C775C32"/>
    <w:rsid w:val="3D09729A"/>
    <w:rsid w:val="3E0553DD"/>
    <w:rsid w:val="416F3BBA"/>
    <w:rsid w:val="41B757E4"/>
    <w:rsid w:val="45107462"/>
    <w:rsid w:val="4A0F76E1"/>
    <w:rsid w:val="4BDD4A5C"/>
    <w:rsid w:val="4C5F411E"/>
    <w:rsid w:val="4E021AA4"/>
    <w:rsid w:val="51DE66E9"/>
    <w:rsid w:val="56234882"/>
    <w:rsid w:val="58FE018C"/>
    <w:rsid w:val="5D9766D9"/>
    <w:rsid w:val="5E822169"/>
    <w:rsid w:val="6C447908"/>
    <w:rsid w:val="711165F5"/>
    <w:rsid w:val="71274D0B"/>
    <w:rsid w:val="765B5EE0"/>
    <w:rsid w:val="77023862"/>
    <w:rsid w:val="77825766"/>
    <w:rsid w:val="794B33B9"/>
    <w:rsid w:val="796300E3"/>
    <w:rsid w:val="79ED441B"/>
    <w:rsid w:val="7CE34F16"/>
    <w:rsid w:val="7FA66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widowControl w:val="0"/>
      <w:spacing w:line="520" w:lineRule="exact"/>
      <w:ind w:firstLine="200" w:firstLineChars="200"/>
    </w:pPr>
    <w:rPr>
      <w:rFonts w:eastAsia="宋体" w:asciiTheme="minorHAnsi" w:hAnsiTheme="minorHAnsi" w:cstheme="minorBidi"/>
      <w:kern w:val="2"/>
      <w:sz w:val="28"/>
      <w:szCs w:val="21"/>
    </w:rPr>
  </w:style>
  <w:style w:type="paragraph" w:styleId="3">
    <w:name w:val="Body Text"/>
    <w:basedOn w:val="1"/>
    <w:next w:val="1"/>
    <w:qFormat/>
    <w:uiPriority w:val="0"/>
    <w:pPr>
      <w:spacing w:after="120" w:afterLines="0"/>
    </w:pPr>
  </w:style>
  <w:style w:type="paragraph" w:styleId="4">
    <w:name w:val="Body Text Indent"/>
    <w:basedOn w:val="1"/>
    <w:qFormat/>
    <w:uiPriority w:val="0"/>
    <w:pPr>
      <w:ind w:firstLine="830" w:firstLineChars="352"/>
    </w:pPr>
    <w:rPr>
      <w:rFonts w:ascii="仿宋_GB2312" w:eastAsia="仿宋_GB2312"/>
      <w:sz w:val="32"/>
      <w:szCs w:val="20"/>
    </w:r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Body Text First Indent"/>
    <w:basedOn w:val="3"/>
    <w:unhideWhenUsed/>
    <w:qFormat/>
    <w:uiPriority w:val="99"/>
    <w:pPr>
      <w:ind w:firstLine="420" w:firstLineChars="100"/>
    </w:pPr>
  </w:style>
  <w:style w:type="paragraph" w:styleId="7">
    <w:name w:val="Body Text First Indent 2"/>
    <w:basedOn w:val="4"/>
    <w:qFormat/>
    <w:uiPriority w:val="0"/>
    <w:pPr>
      <w:ind w:firstLine="420"/>
    </w:pPr>
    <w:rPr>
      <w:rFonts w:ascii="Times New Roman" w:hAnsi="Times New Roman" w:cs="Times New Roman"/>
    </w:rPr>
  </w:style>
  <w:style w:type="paragraph" w:customStyle="1" w:styleId="10">
    <w:name w:val="正文正"/>
    <w:basedOn w:val="1"/>
    <w:qFormat/>
    <w:uiPriority w:val="99"/>
    <w:pPr>
      <w:spacing w:line="560" w:lineRule="exact"/>
      <w:ind w:firstLine="561"/>
    </w:pPr>
    <w:rPr>
      <w:sz w:val="28"/>
    </w:rPr>
  </w:style>
  <w:style w:type="paragraph" w:customStyle="1" w:styleId="11">
    <w:name w:val="首行缩进"/>
    <w:basedOn w:val="1"/>
    <w:qFormat/>
    <w:uiPriority w:val="0"/>
    <w:pPr>
      <w:spacing w:line="360" w:lineRule="auto"/>
      <w:ind w:firstLine="480" w:firstLineChars="200"/>
    </w:pPr>
    <w:rPr>
      <w:sz w:val="24"/>
      <w:lang w:val="zh-CN"/>
    </w:rPr>
  </w:style>
  <w:style w:type="paragraph" w:customStyle="1" w:styleId="12">
    <w:name w:val="Body text|1"/>
    <w:basedOn w:val="1"/>
    <w:qFormat/>
    <w:uiPriority w:val="0"/>
    <w:pPr>
      <w:widowControl w:val="0"/>
      <w:shd w:val="clear" w:color="auto" w:fill="auto"/>
      <w:spacing w:line="290" w:lineRule="auto"/>
      <w:ind w:firstLine="60"/>
    </w:pPr>
    <w:rPr>
      <w:rFonts w:ascii="宋体" w:hAnsi="宋体" w:eastAsia="宋体" w:cs="宋体"/>
      <w:sz w:val="20"/>
      <w:szCs w:val="20"/>
      <w:u w:val="none"/>
      <w:shd w:val="clear" w:color="auto" w:fill="FFFFFF"/>
      <w:lang w:val="zh-TW" w:eastAsia="zh-TW" w:bidi="zh-TW"/>
    </w:rPr>
  </w:style>
  <w:style w:type="character" w:customStyle="1" w:styleId="13">
    <w:name w:val="本文正文 Char1 Char Char Char Char Char Char Char Char Char Char Char Char Char Char Char Char Char Char Char Char Char Char Char Char Char Char"/>
    <w:link w:val="14"/>
    <w:qFormat/>
    <w:uiPriority w:val="0"/>
    <w:rPr>
      <w:rFonts w:ascii="宋体" w:hAnsi="宋体" w:cstheme="minorBidi"/>
      <w:kern w:val="2"/>
      <w:sz w:val="24"/>
      <w:szCs w:val="24"/>
    </w:rPr>
  </w:style>
  <w:style w:type="paragraph" w:customStyle="1" w:styleId="14">
    <w:name w:val="本文正文 Char1 Char Char Char Char Char Char Char Char Char Char Char Char Char Char Char Char Char Char Char Char Char Char Char Char"/>
    <w:basedOn w:val="1"/>
    <w:link w:val="13"/>
    <w:qFormat/>
    <w:uiPriority w:val="0"/>
    <w:pPr>
      <w:spacing w:line="480" w:lineRule="exact"/>
      <w:ind w:firstLine="200" w:firstLineChars="200"/>
    </w:pPr>
    <w:rPr>
      <w:rFonts w:ascii="宋体" w:hAnsi="宋体" w:cstheme="minorBidi"/>
      <w:kern w:val="2"/>
      <w:sz w:val="24"/>
      <w:szCs w:val="24"/>
    </w:rPr>
  </w:style>
  <w:style w:type="paragraph" w:customStyle="1" w:styleId="15">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89</Words>
  <Characters>89</Characters>
  <Lines>0</Lines>
  <Paragraphs>0</Paragraphs>
  <TotalTime>1</TotalTime>
  <ScaleCrop>false</ScaleCrop>
  <LinksUpToDate>false</LinksUpToDate>
  <CharactersWithSpaces>136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2023-02-28T01:50:00Z</dcterms:created>
  <dc:creator>Administrator</dc:creator>
  <cp:lastModifiedBy>c1</cp:lastModifiedBy>
  <dcterms:modified xsi:type="dcterms:W3CDTF">2026-09-03T02:00:59Z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0E17BB260CA3412A897A2D578A542B39</vt:lpwstr>
  </property>
  <property fmtid="{D5CDD505-2E9C-101B-9397-08002B2CF9AE}" pid="4" name="KSOTemplateDocerSaveRecord">
    <vt:lpwstr>eyJoZGlkIjoiNDAwNmFlMmRlYWIxMjRlYmE4OTEyNDkwYzllZGE5MjQiLCJ1c2VySWQiOiIyMjc4MjExMDMifQ==</vt:lpwstr>
  </property>
</Properties>
</file>