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EE0BAC">
      <w:pPr>
        <w:spacing w:line="360" w:lineRule="auto"/>
        <w:jc w:val="center"/>
        <w:rPr>
          <w:rFonts w:hint="eastAsia" w:ascii="宋体" w:hAnsi="宋体" w:eastAsia="宋体" w:cs="宋体"/>
          <w:b/>
          <w:sz w:val="36"/>
          <w:szCs w:val="36"/>
        </w:rPr>
      </w:pPr>
      <w:r>
        <w:rPr>
          <w:rFonts w:hint="eastAsia" w:ascii="宋体" w:hAnsi="宋体" w:cs="宋体"/>
          <w:b/>
          <w:sz w:val="36"/>
          <w:szCs w:val="36"/>
          <w:lang w:val="en-US" w:eastAsia="zh-CN"/>
        </w:rPr>
        <w:t>商务学院智慧物流综合实训中心采购项目</w:t>
      </w:r>
      <w:r>
        <w:rPr>
          <w:rFonts w:hint="eastAsia" w:ascii="宋体" w:hAnsi="宋体" w:eastAsia="宋体" w:cs="宋体"/>
          <w:b/>
          <w:sz w:val="36"/>
          <w:szCs w:val="36"/>
        </w:rPr>
        <w:t>报价函</w:t>
      </w:r>
    </w:p>
    <w:p w14:paraId="76073621">
      <w:pPr>
        <w:pStyle w:val="2"/>
        <w:rPr>
          <w:rFonts w:hint="eastAsia" w:ascii="宋体" w:hAnsi="宋体" w:eastAsia="宋体" w:cs="宋体"/>
        </w:rPr>
      </w:pPr>
    </w:p>
    <w:p w14:paraId="192672B1">
      <w:pPr>
        <w:spacing w:line="221" w:lineRule="exact"/>
        <w:rPr>
          <w:rFonts w:hint="eastAsia" w:ascii="宋体" w:hAnsi="宋体" w:eastAsia="宋体" w:cs="宋体"/>
        </w:rPr>
      </w:pPr>
    </w:p>
    <w:tbl>
      <w:tblPr>
        <w:tblStyle w:val="8"/>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9"/>
        <w:gridCol w:w="2459"/>
        <w:gridCol w:w="1616"/>
        <w:gridCol w:w="1701"/>
        <w:gridCol w:w="1730"/>
        <w:gridCol w:w="1295"/>
      </w:tblGrid>
      <w:tr w14:paraId="7064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649" w:type="dxa"/>
            <w:vAlign w:val="center"/>
          </w:tcPr>
          <w:p w14:paraId="02D12742">
            <w:pPr>
              <w:jc w:val="center"/>
              <w:rPr>
                <w:rStyle w:val="15"/>
                <w:rFonts w:hint="eastAsia" w:ascii="宋体" w:hAnsi="宋体" w:eastAsia="宋体" w:cs="宋体"/>
                <w:b/>
              </w:rPr>
            </w:pPr>
            <w:r>
              <w:rPr>
                <w:rStyle w:val="15"/>
                <w:rFonts w:hint="eastAsia" w:ascii="宋体" w:hAnsi="宋体" w:eastAsia="宋体" w:cs="宋体"/>
                <w:b/>
              </w:rPr>
              <w:t>序号</w:t>
            </w:r>
          </w:p>
        </w:tc>
        <w:tc>
          <w:tcPr>
            <w:tcW w:w="2459" w:type="dxa"/>
            <w:vAlign w:val="center"/>
          </w:tcPr>
          <w:p w14:paraId="4CC02A84">
            <w:pPr>
              <w:jc w:val="center"/>
              <w:rPr>
                <w:rStyle w:val="15"/>
                <w:rFonts w:hint="eastAsia" w:ascii="宋体" w:hAnsi="宋体" w:eastAsia="宋体" w:cs="宋体"/>
                <w:b/>
              </w:rPr>
            </w:pPr>
            <w:r>
              <w:rPr>
                <w:rStyle w:val="15"/>
                <w:rFonts w:hint="eastAsia" w:ascii="宋体" w:hAnsi="宋体" w:eastAsia="宋体" w:cs="宋体"/>
                <w:b/>
              </w:rPr>
              <w:t>名称</w:t>
            </w:r>
          </w:p>
        </w:tc>
        <w:tc>
          <w:tcPr>
            <w:tcW w:w="1616" w:type="dxa"/>
            <w:vAlign w:val="center"/>
          </w:tcPr>
          <w:p w14:paraId="54D7650C">
            <w:pPr>
              <w:jc w:val="center"/>
              <w:rPr>
                <w:rStyle w:val="15"/>
                <w:rFonts w:hint="eastAsia" w:ascii="宋体" w:hAnsi="宋体" w:eastAsia="宋体" w:cs="宋体"/>
                <w:b/>
              </w:rPr>
            </w:pPr>
            <w:r>
              <w:rPr>
                <w:rStyle w:val="15"/>
                <w:rFonts w:hint="eastAsia" w:ascii="宋体" w:hAnsi="宋体" w:eastAsia="宋体" w:cs="宋体"/>
                <w:b/>
              </w:rPr>
              <w:t>采购内容</w:t>
            </w:r>
          </w:p>
        </w:tc>
        <w:tc>
          <w:tcPr>
            <w:tcW w:w="1701" w:type="dxa"/>
            <w:vAlign w:val="center"/>
          </w:tcPr>
          <w:p w14:paraId="790692FD">
            <w:pPr>
              <w:jc w:val="center"/>
              <w:rPr>
                <w:rStyle w:val="15"/>
                <w:rFonts w:hint="eastAsia" w:ascii="宋体" w:hAnsi="宋体" w:eastAsia="宋体" w:cs="宋体"/>
                <w:b/>
              </w:rPr>
            </w:pPr>
            <w:r>
              <w:rPr>
                <w:rStyle w:val="15"/>
                <w:rFonts w:hint="eastAsia" w:ascii="宋体" w:hAnsi="宋体" w:eastAsia="宋体" w:cs="宋体"/>
                <w:b/>
              </w:rPr>
              <w:t>具体参数</w:t>
            </w:r>
            <w:bookmarkStart w:id="0" w:name="_GoBack"/>
            <w:bookmarkEnd w:id="0"/>
          </w:p>
        </w:tc>
        <w:tc>
          <w:tcPr>
            <w:tcW w:w="1730" w:type="dxa"/>
            <w:vAlign w:val="center"/>
          </w:tcPr>
          <w:p w14:paraId="20BE2086">
            <w:pPr>
              <w:jc w:val="center"/>
              <w:rPr>
                <w:rStyle w:val="15"/>
                <w:rFonts w:hint="default" w:ascii="宋体" w:hAnsi="宋体" w:eastAsia="宋体" w:cs="宋体"/>
                <w:b/>
                <w:lang w:val="en-US" w:eastAsia="zh-CN"/>
              </w:rPr>
            </w:pPr>
            <w:r>
              <w:rPr>
                <w:rStyle w:val="15"/>
                <w:rFonts w:hint="eastAsia" w:ascii="宋体" w:hAnsi="宋体" w:cs="宋体"/>
                <w:b/>
                <w:lang w:val="en-US" w:eastAsia="zh-CN"/>
              </w:rPr>
              <w:t>报价要求（元）</w:t>
            </w:r>
          </w:p>
        </w:tc>
        <w:tc>
          <w:tcPr>
            <w:tcW w:w="1295" w:type="dxa"/>
            <w:vAlign w:val="center"/>
          </w:tcPr>
          <w:p w14:paraId="4CFB0897">
            <w:pPr>
              <w:jc w:val="center"/>
              <w:rPr>
                <w:rStyle w:val="15"/>
                <w:rFonts w:hint="eastAsia" w:ascii="宋体" w:hAnsi="宋体" w:eastAsia="宋体" w:cs="宋体"/>
                <w:b/>
                <w:lang w:eastAsia="zh-CN"/>
              </w:rPr>
            </w:pPr>
            <w:r>
              <w:rPr>
                <w:rStyle w:val="15"/>
                <w:rFonts w:hint="eastAsia" w:ascii="宋体" w:hAnsi="宋体" w:eastAsia="宋体" w:cs="宋体"/>
                <w:b/>
                <w:lang w:eastAsia="zh-CN"/>
              </w:rPr>
              <w:t>备注</w:t>
            </w:r>
          </w:p>
        </w:tc>
      </w:tr>
      <w:tr w14:paraId="695BF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jc w:val="center"/>
        </w:trPr>
        <w:tc>
          <w:tcPr>
            <w:tcW w:w="649" w:type="dxa"/>
            <w:vAlign w:val="center"/>
          </w:tcPr>
          <w:p w14:paraId="6DC3C2D0">
            <w:pPr>
              <w:spacing w:line="360" w:lineRule="auto"/>
              <w:jc w:val="center"/>
              <w:rPr>
                <w:rStyle w:val="15"/>
                <w:rFonts w:hint="eastAsia" w:ascii="宋体" w:hAnsi="宋体" w:eastAsia="宋体" w:cs="宋体"/>
              </w:rPr>
            </w:pPr>
            <w:r>
              <w:rPr>
                <w:rStyle w:val="15"/>
                <w:rFonts w:hint="eastAsia" w:ascii="宋体" w:hAnsi="宋体" w:eastAsia="宋体" w:cs="宋体"/>
              </w:rPr>
              <w:t>1</w:t>
            </w:r>
          </w:p>
        </w:tc>
        <w:tc>
          <w:tcPr>
            <w:tcW w:w="2459" w:type="dxa"/>
            <w:vAlign w:val="center"/>
          </w:tcPr>
          <w:p w14:paraId="1548C415">
            <w:pPr>
              <w:spacing w:line="360" w:lineRule="auto"/>
              <w:jc w:val="center"/>
              <w:rPr>
                <w:rStyle w:val="15"/>
                <w:rFonts w:hint="eastAsia" w:ascii="宋体" w:hAnsi="宋体" w:eastAsia="宋体" w:cs="宋体"/>
                <w:lang w:eastAsia="zh-CN"/>
              </w:rPr>
            </w:pPr>
            <w:r>
              <w:rPr>
                <w:rStyle w:val="15"/>
                <w:rFonts w:hint="eastAsia" w:ascii="宋体" w:hAnsi="宋体" w:cs="宋体"/>
                <w:lang w:eastAsia="zh-CN"/>
              </w:rPr>
              <w:t>商务学院智慧物流综合实训中心采购项目</w:t>
            </w:r>
          </w:p>
        </w:tc>
        <w:tc>
          <w:tcPr>
            <w:tcW w:w="1616" w:type="dxa"/>
            <w:vAlign w:val="center"/>
          </w:tcPr>
          <w:p w14:paraId="48AC3458">
            <w:pPr>
              <w:spacing w:line="360" w:lineRule="auto"/>
              <w:jc w:val="center"/>
              <w:rPr>
                <w:rStyle w:val="15"/>
                <w:rFonts w:hint="default" w:ascii="宋体" w:hAnsi="宋体" w:eastAsia="宋体" w:cs="宋体"/>
                <w:lang w:val="en-US"/>
              </w:rPr>
            </w:pPr>
            <w:r>
              <w:rPr>
                <w:rStyle w:val="15"/>
                <w:rFonts w:hint="eastAsia" w:ascii="宋体" w:hAnsi="宋体" w:eastAsia="宋体" w:cs="宋体"/>
              </w:rPr>
              <w:t>详见</w:t>
            </w:r>
            <w:r>
              <w:rPr>
                <w:rStyle w:val="15"/>
                <w:rFonts w:hint="eastAsia" w:ascii="宋体" w:hAnsi="宋体" w:eastAsia="宋体" w:cs="宋体"/>
                <w:lang w:eastAsia="zh-CN"/>
              </w:rPr>
              <w:t>附件</w:t>
            </w:r>
            <w:r>
              <w:rPr>
                <w:rStyle w:val="15"/>
                <w:rFonts w:hint="eastAsia" w:ascii="宋体" w:hAnsi="宋体" w:cs="宋体"/>
                <w:lang w:val="en-US" w:eastAsia="zh-CN"/>
              </w:rPr>
              <w:t>2</w:t>
            </w:r>
          </w:p>
        </w:tc>
        <w:tc>
          <w:tcPr>
            <w:tcW w:w="1701" w:type="dxa"/>
            <w:vAlign w:val="center"/>
          </w:tcPr>
          <w:p w14:paraId="5B78C79B">
            <w:pPr>
              <w:spacing w:line="360" w:lineRule="auto"/>
              <w:jc w:val="center"/>
              <w:rPr>
                <w:rStyle w:val="15"/>
                <w:rFonts w:hint="eastAsia" w:ascii="宋体" w:hAnsi="宋体" w:eastAsia="宋体" w:cs="宋体"/>
                <w:lang w:val="en-US" w:eastAsia="zh-CN"/>
              </w:rPr>
            </w:pPr>
            <w:r>
              <w:rPr>
                <w:rStyle w:val="15"/>
                <w:rFonts w:hint="eastAsia" w:ascii="宋体" w:hAnsi="宋体" w:eastAsia="宋体" w:cs="宋体"/>
              </w:rPr>
              <w:t>详见</w:t>
            </w:r>
            <w:r>
              <w:rPr>
                <w:rStyle w:val="15"/>
                <w:rFonts w:hint="eastAsia" w:ascii="宋体" w:hAnsi="宋体" w:eastAsia="宋体" w:cs="宋体"/>
                <w:lang w:eastAsia="zh-CN"/>
              </w:rPr>
              <w:t>附件</w:t>
            </w:r>
            <w:r>
              <w:rPr>
                <w:rStyle w:val="15"/>
                <w:rFonts w:hint="eastAsia" w:ascii="宋体" w:hAnsi="宋体" w:cs="宋体"/>
                <w:lang w:val="en-US" w:eastAsia="zh-CN"/>
              </w:rPr>
              <w:t>2</w:t>
            </w:r>
          </w:p>
        </w:tc>
        <w:tc>
          <w:tcPr>
            <w:tcW w:w="1730" w:type="dxa"/>
          </w:tcPr>
          <w:p w14:paraId="2B817248">
            <w:pPr>
              <w:spacing w:line="360" w:lineRule="auto"/>
              <w:jc w:val="center"/>
              <w:rPr>
                <w:rStyle w:val="15"/>
                <w:rFonts w:hint="eastAsia" w:ascii="宋体" w:hAnsi="宋体" w:eastAsia="宋体" w:cs="宋体"/>
              </w:rPr>
            </w:pPr>
          </w:p>
        </w:tc>
        <w:tc>
          <w:tcPr>
            <w:tcW w:w="1295" w:type="dxa"/>
          </w:tcPr>
          <w:p w14:paraId="23CBEC92">
            <w:pPr>
              <w:rPr>
                <w:rStyle w:val="15"/>
                <w:rFonts w:hint="default" w:ascii="宋体" w:hAnsi="宋体" w:eastAsia="宋体" w:cs="宋体"/>
                <w:lang w:val="en-US" w:eastAsia="zh-CN"/>
              </w:rPr>
            </w:pPr>
            <w:r>
              <w:rPr>
                <w:rStyle w:val="15"/>
                <w:rFonts w:hint="eastAsia" w:ascii="宋体" w:hAnsi="宋体" w:cs="宋体"/>
                <w:lang w:val="en-US" w:eastAsia="zh-CN"/>
              </w:rPr>
              <w:t>需要对具体参数做分项报价</w:t>
            </w:r>
          </w:p>
        </w:tc>
      </w:tr>
    </w:tbl>
    <w:p w14:paraId="49527AEB">
      <w:pPr>
        <w:spacing w:line="221" w:lineRule="exact"/>
        <w:jc w:val="center"/>
        <w:rPr>
          <w:rFonts w:hint="eastAsia" w:ascii="宋体" w:hAnsi="宋体" w:cs="宋体"/>
          <w:b/>
          <w:bCs/>
          <w:sz w:val="22"/>
          <w:szCs w:val="28"/>
          <w:lang w:val="en-US" w:eastAsia="zh-CN"/>
        </w:rPr>
      </w:pPr>
    </w:p>
    <w:p w14:paraId="0BE31194">
      <w:pPr>
        <w:spacing w:line="221" w:lineRule="exact"/>
        <w:rPr>
          <w:rFonts w:hint="eastAsia" w:ascii="宋体" w:hAnsi="宋体" w:eastAsia="宋体" w:cs="宋体"/>
        </w:rPr>
      </w:pPr>
    </w:p>
    <w:p w14:paraId="4FA5D912">
      <w:pPr>
        <w:wordWrap w:val="0"/>
        <w:spacing w:line="500" w:lineRule="exact"/>
        <w:ind w:left="504" w:leftChars="240" w:firstLine="480" w:firstLineChars="200"/>
        <w:jc w:val="right"/>
        <w:rPr>
          <w:rFonts w:hint="eastAsia" w:ascii="宋体" w:hAnsi="宋体" w:eastAsia="宋体" w:cs="宋体"/>
          <w:sz w:val="24"/>
          <w:szCs w:val="24"/>
          <w:lang w:val="en-US" w:eastAsia="zh-CN"/>
        </w:rPr>
      </w:pPr>
      <w:r>
        <w:rPr>
          <w:rFonts w:hint="eastAsia" w:ascii="宋体" w:hAnsi="宋体" w:eastAsia="宋体" w:cs="宋体"/>
          <w:sz w:val="24"/>
          <w:szCs w:val="24"/>
        </w:rPr>
        <w:t xml:space="preserve">        报价单位（盖章）：</w:t>
      </w:r>
      <w:r>
        <w:rPr>
          <w:rFonts w:hint="eastAsia" w:ascii="宋体" w:hAnsi="宋体" w:eastAsia="宋体" w:cs="宋体"/>
          <w:sz w:val="24"/>
          <w:szCs w:val="24"/>
          <w:lang w:val="en-US" w:eastAsia="zh-CN"/>
        </w:rPr>
        <w:t xml:space="preserve">                   </w:t>
      </w:r>
    </w:p>
    <w:p w14:paraId="5ED089C6">
      <w:pPr>
        <w:wordWrap w:val="0"/>
        <w:spacing w:line="500" w:lineRule="exact"/>
        <w:ind w:left="504" w:leftChars="240" w:firstLine="480" w:firstLineChars="200"/>
        <w:jc w:val="right"/>
        <w:rPr>
          <w:rFonts w:hint="eastAsia" w:ascii="宋体" w:hAnsi="宋体" w:eastAsia="宋体" w:cs="宋体"/>
          <w:sz w:val="24"/>
          <w:szCs w:val="24"/>
          <w:lang w:val="en-US" w:eastAsia="zh-CN"/>
        </w:rPr>
      </w:pPr>
      <w:r>
        <w:rPr>
          <w:rFonts w:hint="eastAsia" w:ascii="宋体" w:hAnsi="宋体" w:eastAsia="宋体" w:cs="宋体"/>
          <w:sz w:val="24"/>
          <w:szCs w:val="24"/>
        </w:rPr>
        <w:t>联系人：</w:t>
      </w:r>
      <w:r>
        <w:rPr>
          <w:rFonts w:hint="eastAsia" w:ascii="宋体" w:hAnsi="宋体" w:eastAsia="宋体" w:cs="宋体"/>
          <w:sz w:val="24"/>
          <w:szCs w:val="24"/>
          <w:lang w:val="en-US" w:eastAsia="zh-CN"/>
        </w:rPr>
        <w:t xml:space="preserve">          </w:t>
      </w:r>
    </w:p>
    <w:p w14:paraId="2A0DB586">
      <w:pPr>
        <w:wordWrap w:val="0"/>
        <w:spacing w:line="500" w:lineRule="exact"/>
        <w:ind w:left="504" w:leftChars="240" w:firstLine="480" w:firstLineChars="200"/>
        <w:jc w:val="right"/>
        <w:rPr>
          <w:rFonts w:hint="eastAsia" w:ascii="宋体" w:hAnsi="宋体" w:eastAsia="宋体" w:cs="宋体"/>
          <w:sz w:val="24"/>
          <w:szCs w:val="24"/>
          <w:lang w:val="en-US" w:eastAsia="zh-CN"/>
        </w:rPr>
      </w:pPr>
      <w:r>
        <w:rPr>
          <w:rFonts w:hint="eastAsia" w:ascii="宋体" w:hAnsi="宋体" w:eastAsia="宋体" w:cs="宋体"/>
          <w:sz w:val="24"/>
          <w:szCs w:val="24"/>
        </w:rPr>
        <w:t>联系方式：</w:t>
      </w:r>
      <w:r>
        <w:rPr>
          <w:rFonts w:hint="eastAsia" w:ascii="宋体" w:hAnsi="宋体" w:eastAsia="宋体" w:cs="宋体"/>
          <w:sz w:val="24"/>
          <w:szCs w:val="24"/>
          <w:lang w:val="en-US" w:eastAsia="zh-CN"/>
        </w:rPr>
        <w:t xml:space="preserve">          </w:t>
      </w:r>
    </w:p>
    <w:p w14:paraId="21DBBAEF">
      <w:pPr>
        <w:spacing w:line="500" w:lineRule="exact"/>
        <w:ind w:left="504" w:leftChars="240" w:firstLine="480" w:firstLineChars="200"/>
        <w:jc w:val="right"/>
        <w:rPr>
          <w:rFonts w:hint="eastAsia" w:ascii="宋体" w:hAnsi="宋体" w:eastAsia="宋体" w:cs="宋体"/>
          <w:sz w:val="24"/>
          <w:szCs w:val="24"/>
        </w:rPr>
      </w:pPr>
      <w:r>
        <w:rPr>
          <w:rFonts w:hint="eastAsia" w:ascii="宋体" w:hAnsi="宋体" w:eastAsia="宋体" w:cs="宋体"/>
          <w:sz w:val="24"/>
          <w:szCs w:val="24"/>
        </w:rPr>
        <w:br w:type="page"/>
      </w:r>
    </w:p>
    <w:p w14:paraId="391478F3">
      <w:pPr>
        <w:pStyle w:val="2"/>
        <w:ind w:left="0" w:leftChars="0" w:firstLine="0" w:firstLineChars="0"/>
        <w:rPr>
          <w:rStyle w:val="15"/>
          <w:rFonts w:hint="eastAsia" w:ascii="宋体" w:hAnsi="宋体" w:eastAsia="宋体" w:cs="宋体"/>
          <w:lang w:val="en-US" w:eastAsia="zh-CN"/>
        </w:rPr>
      </w:pPr>
      <w:r>
        <w:rPr>
          <w:rStyle w:val="15"/>
          <w:rFonts w:hint="eastAsia" w:ascii="宋体" w:hAnsi="宋体" w:eastAsia="宋体" w:cs="宋体"/>
          <w:lang w:eastAsia="zh-CN"/>
        </w:rPr>
        <w:t>附件</w:t>
      </w:r>
      <w:r>
        <w:rPr>
          <w:rStyle w:val="15"/>
          <w:rFonts w:hint="eastAsia" w:ascii="宋体" w:hAnsi="宋体" w:eastAsia="宋体" w:cs="宋体"/>
          <w:lang w:val="en-US" w:eastAsia="zh-CN"/>
        </w:rPr>
        <w:t>1：营业执照</w:t>
      </w:r>
    </w:p>
    <w:p w14:paraId="304DE082">
      <w:pPr>
        <w:rPr>
          <w:rStyle w:val="15"/>
          <w:rFonts w:hint="eastAsia" w:ascii="宋体" w:hAnsi="宋体" w:eastAsia="宋体" w:cs="宋体"/>
          <w:lang w:val="en-US" w:eastAsia="zh-CN"/>
        </w:rPr>
      </w:pPr>
    </w:p>
    <w:p w14:paraId="35D7A0D1">
      <w:pPr>
        <w:rPr>
          <w:rStyle w:val="15"/>
          <w:rFonts w:hint="eastAsia" w:ascii="宋体" w:hAnsi="宋体" w:eastAsia="宋体" w:cs="宋体"/>
          <w:lang w:val="en-US" w:eastAsia="zh-CN"/>
        </w:rPr>
      </w:pPr>
      <w:r>
        <w:rPr>
          <w:rStyle w:val="15"/>
          <w:rFonts w:hint="eastAsia" w:ascii="宋体" w:hAnsi="宋体" w:eastAsia="宋体" w:cs="宋体"/>
          <w:lang w:val="en-US" w:eastAsia="zh-CN"/>
        </w:rPr>
        <w:br w:type="page"/>
      </w:r>
    </w:p>
    <w:p w14:paraId="51F5D4D5">
      <w:pPr>
        <w:rPr>
          <w:rStyle w:val="15"/>
          <w:rFonts w:hint="eastAsia" w:ascii="宋体" w:hAnsi="宋体" w:cs="宋体"/>
          <w:lang w:val="en-US" w:eastAsia="zh-CN"/>
        </w:rPr>
      </w:pPr>
      <w:r>
        <w:rPr>
          <w:rStyle w:val="15"/>
          <w:rFonts w:hint="eastAsia" w:ascii="宋体" w:hAnsi="宋体" w:eastAsia="宋体" w:cs="宋体"/>
          <w:lang w:eastAsia="zh-CN"/>
        </w:rPr>
        <w:t>附件</w:t>
      </w:r>
      <w:r>
        <w:rPr>
          <w:rStyle w:val="15"/>
          <w:rFonts w:hint="eastAsia" w:ascii="宋体" w:hAnsi="宋体" w:cs="宋体"/>
          <w:lang w:val="en-US" w:eastAsia="zh-CN"/>
        </w:rPr>
        <w:t>2:具体参数</w:t>
      </w:r>
    </w:p>
    <w:tbl>
      <w:tblPr>
        <w:tblStyle w:val="8"/>
        <w:tblW w:w="9422"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15"/>
        <w:gridCol w:w="8707"/>
      </w:tblGrid>
      <w:tr w14:paraId="6869E3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54" w:hRule="atLeast"/>
          <w:jc w:val="center"/>
        </w:trPr>
        <w:tc>
          <w:tcPr>
            <w:tcW w:w="715" w:type="dxa"/>
            <w:vAlign w:val="center"/>
          </w:tcPr>
          <w:p w14:paraId="5DEB3E0C">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8707" w:type="dxa"/>
            <w:vAlign w:val="center"/>
          </w:tcPr>
          <w:p w14:paraId="33A9A7C5">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具体技术（参数）要求</w:t>
            </w:r>
          </w:p>
        </w:tc>
      </w:tr>
      <w:tr w14:paraId="33586F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79" w:hRule="atLeast"/>
          <w:jc w:val="center"/>
        </w:trPr>
        <w:tc>
          <w:tcPr>
            <w:tcW w:w="715" w:type="dxa"/>
            <w:vAlign w:val="center"/>
          </w:tcPr>
          <w:p w14:paraId="171BE53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8707" w:type="dxa"/>
            <w:vAlign w:val="center"/>
          </w:tcPr>
          <w:p w14:paraId="01243444">
            <w:pPr>
              <w:spacing w:line="360" w:lineRule="auto"/>
              <w:ind w:firstLine="482" w:firstLineChars="200"/>
              <w:rPr>
                <w:rFonts w:hint="eastAsia" w:ascii="宋体" w:hAnsi="宋体" w:eastAsia="宋体" w:cs="宋体"/>
                <w:b/>
                <w:sz w:val="24"/>
                <w:szCs w:val="24"/>
              </w:rPr>
            </w:pPr>
            <w:r>
              <w:rPr>
                <w:rFonts w:hint="eastAsia" w:ascii="宋体" w:hAnsi="宋体" w:eastAsia="宋体" w:cs="宋体"/>
                <w:b/>
                <w:bCs/>
                <w:sz w:val="24"/>
                <w:szCs w:val="24"/>
              </w:rPr>
              <w:t>智慧物流综合实训中心</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主要</w:t>
            </w:r>
            <w:r>
              <w:rPr>
                <w:rFonts w:hint="eastAsia" w:ascii="宋体" w:hAnsi="宋体" w:eastAsia="宋体" w:cs="宋体"/>
                <w:sz w:val="24"/>
                <w:szCs w:val="24"/>
              </w:rPr>
              <w:t>落实</w:t>
            </w:r>
            <w:r>
              <w:rPr>
                <w:rStyle w:val="11"/>
                <w:rFonts w:hint="eastAsia" w:ascii="宋体" w:hAnsi="宋体" w:eastAsia="宋体" w:cs="宋体"/>
                <w:sz w:val="24"/>
                <w:szCs w:val="24"/>
              </w:rPr>
              <w:t>文工结合、管工融合</w:t>
            </w:r>
            <w:r>
              <w:rPr>
                <w:rFonts w:hint="eastAsia" w:ascii="宋体" w:hAnsi="宋体" w:eastAsia="宋体" w:cs="宋体"/>
                <w:sz w:val="24"/>
                <w:szCs w:val="24"/>
              </w:rPr>
              <w:t>复合型技术技能人才培养理念，对标智能制造、现代智慧物流行业企业真实岗位业务场景，建设虚实一体化智慧</w:t>
            </w:r>
            <w:r>
              <w:rPr>
                <w:rFonts w:hint="eastAsia" w:ascii="宋体" w:hAnsi="宋体" w:eastAsia="宋体" w:cs="宋体"/>
                <w:sz w:val="24"/>
                <w:szCs w:val="24"/>
                <w:lang w:val="en-US" w:eastAsia="zh-CN"/>
              </w:rPr>
              <w:t>物流综合</w:t>
            </w:r>
            <w:r>
              <w:rPr>
                <w:rFonts w:hint="eastAsia" w:ascii="宋体" w:hAnsi="宋体" w:eastAsia="宋体" w:cs="宋体"/>
                <w:sz w:val="24"/>
                <w:szCs w:val="24"/>
              </w:rPr>
              <w:t>实训中心。项目融合实体智能物流硬件设备与配套业务软件平台，补齐智慧仓储、智能搬运实训条件短板，破解传统实训设备损耗大、高危场景无法实操、业务场景难以复刻、教学与企业岗位脱节等教学痛点</w:t>
            </w:r>
            <w:r>
              <w:rPr>
                <w:rFonts w:hint="eastAsia" w:ascii="宋体" w:hAnsi="宋体" w:eastAsia="宋体" w:cs="宋体"/>
                <w:b w:val="0"/>
                <w:sz w:val="24"/>
                <w:szCs w:val="24"/>
              </w:rPr>
              <w:t>。</w:t>
            </w:r>
          </w:p>
        </w:tc>
      </w:tr>
      <w:tr w14:paraId="75524B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600" w:hRule="atLeast"/>
          <w:jc w:val="center"/>
        </w:trPr>
        <w:tc>
          <w:tcPr>
            <w:tcW w:w="715" w:type="dxa"/>
            <w:vAlign w:val="center"/>
          </w:tcPr>
          <w:p w14:paraId="5DC3A515">
            <w:pPr>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p>
        </w:tc>
        <w:tc>
          <w:tcPr>
            <w:tcW w:w="8707" w:type="dxa"/>
            <w:vAlign w:val="center"/>
          </w:tcPr>
          <w:p w14:paraId="50946FF2">
            <w:pPr>
              <w:spacing w:line="360" w:lineRule="auto"/>
              <w:ind w:firstLine="480" w:firstLineChars="200"/>
              <w:rPr>
                <w:rFonts w:hint="eastAsia" w:ascii="宋体" w:hAnsi="宋体" w:eastAsia="宋体" w:cs="宋体"/>
                <w:color w:val="auto"/>
                <w:sz w:val="24"/>
                <w:szCs w:val="24"/>
                <w:highlight w:val="none"/>
              </w:rPr>
            </w:pPr>
          </w:p>
          <w:tbl>
            <w:tblPr>
              <w:tblStyle w:val="8"/>
              <w:tblW w:w="79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06"/>
              <w:gridCol w:w="429"/>
              <w:gridCol w:w="450"/>
              <w:gridCol w:w="954"/>
              <w:gridCol w:w="4960"/>
              <w:gridCol w:w="654"/>
            </w:tblGrid>
            <w:tr w14:paraId="647B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506" w:type="dxa"/>
                  <w:tcBorders>
                    <w:top w:val="single" w:color="000000" w:sz="4" w:space="0"/>
                    <w:left w:val="single" w:color="000000" w:sz="4" w:space="0"/>
                    <w:bottom w:val="single" w:color="000000" w:sz="4" w:space="0"/>
                    <w:right w:val="single" w:color="000000" w:sz="4" w:space="0"/>
                  </w:tcBorders>
                  <w:noWrap/>
                  <w:vAlign w:val="center"/>
                </w:tcPr>
                <w:p w14:paraId="368CFD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429" w:type="dxa"/>
                  <w:tcBorders>
                    <w:top w:val="single" w:color="000000" w:sz="4" w:space="0"/>
                    <w:left w:val="single" w:color="000000" w:sz="4" w:space="0"/>
                    <w:bottom w:val="single" w:color="000000" w:sz="4" w:space="0"/>
                    <w:right w:val="single" w:color="000000" w:sz="4" w:space="0"/>
                  </w:tcBorders>
                  <w:noWrap w:val="0"/>
                  <w:vAlign w:val="center"/>
                </w:tcPr>
                <w:p w14:paraId="50A539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类别</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3B3AA9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954" w:type="dxa"/>
                  <w:tcBorders>
                    <w:top w:val="single" w:color="000000" w:sz="4" w:space="0"/>
                    <w:left w:val="single" w:color="000000" w:sz="4" w:space="0"/>
                    <w:bottom w:val="single" w:color="000000" w:sz="4" w:space="0"/>
                    <w:right w:val="single" w:color="000000" w:sz="4" w:space="0"/>
                  </w:tcBorders>
                  <w:noWrap w:val="0"/>
                  <w:vAlign w:val="center"/>
                </w:tcPr>
                <w:p w14:paraId="4C6DDB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组件名称</w:t>
                  </w:r>
                </w:p>
              </w:tc>
              <w:tc>
                <w:tcPr>
                  <w:tcW w:w="4960" w:type="dxa"/>
                  <w:tcBorders>
                    <w:top w:val="single" w:color="000000" w:sz="4" w:space="0"/>
                    <w:left w:val="single" w:color="000000" w:sz="4" w:space="0"/>
                    <w:bottom w:val="single" w:color="000000" w:sz="4" w:space="0"/>
                    <w:right w:val="single" w:color="000000" w:sz="4" w:space="0"/>
                  </w:tcBorders>
                  <w:noWrap w:val="0"/>
                  <w:vAlign w:val="center"/>
                </w:tcPr>
                <w:p w14:paraId="2EF4F4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技术参数</w:t>
                  </w:r>
                </w:p>
              </w:tc>
              <w:tc>
                <w:tcPr>
                  <w:tcW w:w="654" w:type="dxa"/>
                  <w:tcBorders>
                    <w:top w:val="single" w:color="000000" w:sz="4" w:space="0"/>
                    <w:left w:val="single" w:color="000000" w:sz="4" w:space="0"/>
                    <w:bottom w:val="single" w:color="000000" w:sz="4" w:space="0"/>
                    <w:right w:val="single" w:color="000000" w:sz="4" w:space="0"/>
                  </w:tcBorders>
                  <w:noWrap w:val="0"/>
                  <w:vAlign w:val="center"/>
                </w:tcPr>
                <w:p w14:paraId="410580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r>
            <w:tr w14:paraId="2A258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506" w:type="dxa"/>
                  <w:vMerge w:val="restart"/>
                  <w:tcBorders>
                    <w:top w:val="single" w:color="000000" w:sz="4" w:space="0"/>
                    <w:left w:val="single" w:color="000000" w:sz="4" w:space="0"/>
                    <w:bottom w:val="single" w:color="000000" w:sz="4" w:space="0"/>
                    <w:right w:val="single" w:color="000000" w:sz="4" w:space="0"/>
                  </w:tcBorders>
                  <w:noWrap w:val="0"/>
                  <w:vAlign w:val="center"/>
                </w:tcPr>
                <w:p w14:paraId="3E0C36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智慧物流综合实训中心</w:t>
                  </w:r>
                </w:p>
              </w:tc>
              <w:tc>
                <w:tcPr>
                  <w:tcW w:w="4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7D51A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硬件</w:t>
                  </w:r>
                </w:p>
              </w:tc>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0D4C7E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54" w:type="dxa"/>
                  <w:vMerge w:val="restart"/>
                  <w:tcBorders>
                    <w:top w:val="single" w:color="000000" w:sz="4" w:space="0"/>
                    <w:left w:val="single" w:color="000000" w:sz="4" w:space="0"/>
                    <w:bottom w:val="single" w:color="000000" w:sz="4" w:space="0"/>
                    <w:right w:val="single" w:color="000000" w:sz="4" w:space="0"/>
                  </w:tcBorders>
                  <w:noWrap w:val="0"/>
                  <w:vAlign w:val="center"/>
                </w:tcPr>
                <w:p w14:paraId="376339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PTL</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存储区</w:t>
                  </w:r>
                </w:p>
              </w:tc>
              <w:tc>
                <w:tcPr>
                  <w:tcW w:w="4960" w:type="dxa"/>
                  <w:vMerge w:val="restart"/>
                  <w:tcBorders>
                    <w:top w:val="single" w:color="000000" w:sz="4" w:space="0"/>
                    <w:left w:val="single" w:color="000000" w:sz="4" w:space="0"/>
                    <w:bottom w:val="single" w:color="000000" w:sz="4" w:space="0"/>
                    <w:right w:val="single" w:color="000000" w:sz="4" w:space="0"/>
                  </w:tcBorders>
                  <w:noWrap w:val="0"/>
                  <w:vAlign w:val="center"/>
                </w:tcPr>
                <w:p w14:paraId="5CD438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1.EU料箱存储区，可根据业务需要设置供应商角色、VMI角色、RDC角色；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2.可通过WMS自定义存储物料，设置系统参数完成库位与安灯终端的数据绑定；</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三层设计，其中第二、三层为存货层，第一层为空箱返回层。采用全组装式结构，安装拆卸灵活，可根据需求调整货架高度与轨道坡度，适配不同类型货物与存储场景；支持无纸化作业，契合现代化仓储管理系统要求，实现货物精准追踪与信息化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4.配置安灯终端12个，控制器1套，安装在货架上；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5.配套3种颜色EU箱使用，满足物料快速识别，支持开展物料分类管理，方便教学过程中教师快速识别正确性；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6.安灯终端可开展重复拆装，支持运维排故练习；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7.支持货位亮灯定位：订单下发后，目标货品所在流利货架货位的电子标签指示灯自动亮灯，精准指引拣货员位置，免除 “找货” 时间。支持多灯同时亮（按单拣选）或顺序亮灯（路径优化），避免无效行走；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8.支持数量可视化显示：标签屏幕实时显示 拣取数量；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9.支持作业完成确认：拣货后按标签上的确认键，指示灯变色（熄灭），系统同步完成状态并推送下一个任务。支持扫码确认（扫货品 / 周转箱条码），实现无按键闭环；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10.支持实时库存同步：拣选确认后，WMS 系统自动扣减库存，账实实时一致；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11.支持与 WMS无缝对接：自动接收订单、下发任务、回传结果；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12.支持多区域 / 分区拣选：按库区亮灯，支持多人并行作业；</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13.支持多品种小批量适配：适合电商、零部件、电子制造业高频次、多 SKU拣选场景；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14.尺寸：长：100cm、宽：68cm、高120cm；（±1cm）；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教学要点：可开展库位规划、库位调整、物料目视化、WMS数据维护、安灯终端维护、企业案例等教学项目。</w:t>
                  </w:r>
                </w:p>
              </w:tc>
              <w:tc>
                <w:tcPr>
                  <w:tcW w:w="654" w:type="dxa"/>
                  <w:vMerge w:val="restart"/>
                  <w:tcBorders>
                    <w:top w:val="single" w:color="000000" w:sz="4" w:space="0"/>
                    <w:left w:val="single" w:color="000000" w:sz="4" w:space="0"/>
                    <w:bottom w:val="single" w:color="000000" w:sz="4" w:space="0"/>
                    <w:right w:val="single" w:color="000000" w:sz="4" w:space="0"/>
                  </w:tcBorders>
                  <w:noWrap w:val="0"/>
                  <w:vAlign w:val="center"/>
                </w:tcPr>
                <w:p w14:paraId="2FD308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1套</w:t>
                  </w:r>
                </w:p>
              </w:tc>
            </w:tr>
            <w:tr w14:paraId="3BE38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6DE9E5">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39F71A">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41260E">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4C37DA">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F44DBE">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FA1F84">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1E4A4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1153E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E5D156">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DDE276">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50DDE4">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E177AD">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614A6A">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3FDFD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614428">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D55DBC">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C72198">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039952">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506F8F">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75E416">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66FB0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9BE384">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0771A3">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0BE393">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0C9FC0">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93668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626700">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112C1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CFC37E">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9D1E45">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763B0E">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8534BB">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5FED00">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A36A9A">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6EA25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DAA950">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C55109">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B43650">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C6E4E2">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4289BE">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6E7CF8">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3B69F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11C307">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26497A">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A663CE">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85C325">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106A9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7912FD">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71096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808E42">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3997C3">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D6DF6B">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19116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EA51F5">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A6517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184AB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347C78">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C3598E">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BA99AF">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E10C44">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23D7EB">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2DF4A4">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6D3A6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925208">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F2F555">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B8EC00">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10594E">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918429">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CD8F29">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4843D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C3BC96">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83C9FE">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6CE554">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5E8207">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96630A">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95E630">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0A95D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517C06">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B1AB8A">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B0C18E">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DB880D">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F6073B">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280E2F">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0A447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0495CA">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7559CF">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363219">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98C317">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37BEE9">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EB617B">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37F56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28CF65">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D40C47">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3691E4">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311AD7">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869D9C">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C58BD3">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352FD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D66FB6">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71DC1E">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921900">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083C33">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0E3263">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DC863C">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1A750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F1DFA3">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9BB048">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B3995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87C90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C134A8">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9D9C37">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24B09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F26E3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736DBE">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305C0C">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CDEB55">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FC500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7F0E34">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3ED30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2E457B">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5CF140">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8708C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635EFE">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CDDAF5">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4FDD7C">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6C319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3769F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0031EF">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25DF43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54" w:type="dxa"/>
                  <w:vMerge w:val="restart"/>
                  <w:tcBorders>
                    <w:top w:val="single" w:color="000000" w:sz="4" w:space="0"/>
                    <w:left w:val="single" w:color="000000" w:sz="4" w:space="0"/>
                    <w:bottom w:val="single" w:color="000000" w:sz="4" w:space="0"/>
                    <w:right w:val="single" w:color="000000" w:sz="4" w:space="0"/>
                  </w:tcBorders>
                  <w:noWrap w:val="0"/>
                  <w:vAlign w:val="center"/>
                </w:tcPr>
                <w:p w14:paraId="4F0CD3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AS/RS立体库存储区</w:t>
                  </w:r>
                </w:p>
              </w:tc>
              <w:tc>
                <w:tcPr>
                  <w:tcW w:w="4960" w:type="dxa"/>
                  <w:vMerge w:val="restart"/>
                  <w:tcBorders>
                    <w:top w:val="single" w:color="000000" w:sz="4" w:space="0"/>
                    <w:left w:val="single" w:color="000000" w:sz="4" w:space="0"/>
                    <w:bottom w:val="single" w:color="000000" w:sz="4" w:space="0"/>
                    <w:right w:val="single" w:color="000000" w:sz="4" w:space="0"/>
                  </w:tcBorders>
                  <w:noWrap w:val="0"/>
                  <w:vAlign w:val="center"/>
                </w:tcPr>
                <w:p w14:paraId="1631D4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Style w:val="18"/>
                      <w:rFonts w:hint="eastAsia" w:ascii="宋体" w:hAnsi="宋体" w:eastAsia="宋体" w:cs="宋体"/>
                      <w:sz w:val="24"/>
                      <w:szCs w:val="24"/>
                      <w:lang w:val="en-US" w:eastAsia="zh-CN" w:bidi="ar"/>
                    </w:rPr>
                    <w:t>1.微缩化巷道式自动化立体库，由设备底架、出入库输送机、堆垛机、立体货架、电气控制系统构成；采用集成化物流理念，融合控制、总线、通讯与信息技术实现协同作业；出库时可通过 WMS 自动呼叫 AGV 小车接货，与出库输送线自动对接完成出库流转；</w:t>
                  </w:r>
                  <w:r>
                    <w:rPr>
                      <w:rStyle w:val="18"/>
                      <w:rFonts w:hint="eastAsia" w:ascii="宋体" w:hAnsi="宋体" w:eastAsia="宋体" w:cs="宋体"/>
                      <w:sz w:val="24"/>
                      <w:szCs w:val="24"/>
                      <w:lang w:val="en-US" w:eastAsia="zh-CN" w:bidi="ar"/>
                    </w:rPr>
                    <w:br w:type="textWrapping"/>
                  </w:r>
                  <w:r>
                    <w:rPr>
                      <w:rStyle w:val="18"/>
                      <w:rFonts w:hint="eastAsia" w:ascii="宋体" w:hAnsi="宋体" w:eastAsia="宋体" w:cs="宋体"/>
                      <w:sz w:val="24"/>
                      <w:szCs w:val="24"/>
                      <w:lang w:val="en-US" w:eastAsia="zh-CN" w:bidi="ar"/>
                    </w:rPr>
                    <w:t>2.材料：铝型材货架，碳钢托架，安装有轮子，满足快速转运，可拆分为三个主体模块，开展拆装运维教学项目；</w:t>
                  </w:r>
                  <w:r>
                    <w:rPr>
                      <w:rStyle w:val="18"/>
                      <w:rFonts w:hint="eastAsia" w:ascii="宋体" w:hAnsi="宋体" w:eastAsia="宋体" w:cs="宋体"/>
                      <w:sz w:val="24"/>
                      <w:szCs w:val="24"/>
                      <w:lang w:val="en-US" w:eastAsia="zh-CN" w:bidi="ar"/>
                    </w:rPr>
                    <w:br w:type="textWrapping"/>
                  </w:r>
                  <w:r>
                    <w:rPr>
                      <w:rStyle w:val="18"/>
                      <w:rFonts w:hint="eastAsia" w:ascii="宋体" w:hAnsi="宋体" w:eastAsia="宋体" w:cs="宋体"/>
                      <w:sz w:val="24"/>
                      <w:szCs w:val="24"/>
                      <w:lang w:val="en-US" w:eastAsia="zh-CN" w:bidi="ar"/>
                    </w:rPr>
                    <w:t>3.调参：通过HMI可开展堆垛机参数设置，至少包括X、Y、Z轴速度、库位坐标参数设置、一键归零（立体库回原点功能）；</w:t>
                  </w:r>
                  <w:r>
                    <w:rPr>
                      <w:rStyle w:val="18"/>
                      <w:rFonts w:hint="eastAsia" w:ascii="宋体" w:hAnsi="宋体" w:eastAsia="宋体" w:cs="宋体"/>
                      <w:sz w:val="24"/>
                      <w:szCs w:val="24"/>
                      <w:lang w:val="en-US" w:eastAsia="zh-CN" w:bidi="ar"/>
                    </w:rPr>
                    <w:br w:type="textWrapping"/>
                  </w:r>
                  <w:r>
                    <w:rPr>
                      <w:rStyle w:val="18"/>
                      <w:rFonts w:hint="eastAsia" w:ascii="宋体" w:hAnsi="宋体" w:eastAsia="宋体" w:cs="宋体"/>
                      <w:sz w:val="24"/>
                      <w:szCs w:val="24"/>
                      <w:lang w:val="en-US" w:eastAsia="zh-CN" w:bidi="ar"/>
                    </w:rPr>
                    <w:t>4.仓位数量：不少于14个存储位，安装可快速拆卸的防护背网；</w:t>
                  </w:r>
                  <w:r>
                    <w:rPr>
                      <w:rStyle w:val="18"/>
                      <w:rFonts w:hint="eastAsia" w:ascii="宋体" w:hAnsi="宋体" w:eastAsia="宋体" w:cs="宋体"/>
                      <w:sz w:val="24"/>
                      <w:szCs w:val="24"/>
                      <w:lang w:val="en-US" w:eastAsia="zh-CN" w:bidi="ar"/>
                    </w:rPr>
                    <w:br w:type="textWrapping"/>
                  </w:r>
                  <w:r>
                    <w:rPr>
                      <w:rStyle w:val="18"/>
                      <w:rFonts w:hint="eastAsia" w:ascii="宋体" w:hAnsi="宋体" w:eastAsia="宋体" w:cs="宋体"/>
                      <w:sz w:val="24"/>
                      <w:szCs w:val="24"/>
                      <w:lang w:val="en-US" w:eastAsia="zh-CN" w:bidi="ar"/>
                    </w:rPr>
                    <w:t>5.入库道口、出库道口位于同一侧，采用气动设备顶升与夹紧作为动力，配置光电开关识别EU箱位置；</w:t>
                  </w:r>
                  <w:r>
                    <w:rPr>
                      <w:rStyle w:val="18"/>
                      <w:rFonts w:hint="eastAsia" w:ascii="宋体" w:hAnsi="宋体" w:eastAsia="宋体" w:cs="宋体"/>
                      <w:sz w:val="24"/>
                      <w:szCs w:val="24"/>
                      <w:lang w:val="en-US" w:eastAsia="zh-CN" w:bidi="ar"/>
                    </w:rPr>
                    <w:br w:type="textWrapping"/>
                  </w:r>
                  <w:r>
                    <w:rPr>
                      <w:rStyle w:val="18"/>
                      <w:rFonts w:hint="eastAsia" w:ascii="宋体" w:hAnsi="宋体" w:eastAsia="宋体" w:cs="宋体"/>
                      <w:sz w:val="24"/>
                      <w:szCs w:val="24"/>
                      <w:lang w:val="en-US" w:eastAsia="zh-CN" w:bidi="ar"/>
                    </w:rPr>
                    <w:t>6.堆垛机采用伺服电机控制，控制精度±2mm，伺服输入电源：单/三相200V—240V 50/60Hz；控制电路电源：DC24V（±10%）；控制方式：正弦波PWM控制、电流控制方式；保护功能：过电流断路、再生过电流断路、过负载断路、电机过热保护、编码器异常保护、再生异常保护、欠电压保护、瞬时停电保护、过速保护、误差过大保护；支持控制模式：位置控制、速度控制、转矩控制等，支持Profinet协议。</w:t>
                  </w:r>
                  <w:r>
                    <w:rPr>
                      <w:rStyle w:val="18"/>
                      <w:rFonts w:hint="eastAsia" w:ascii="宋体" w:hAnsi="宋体" w:eastAsia="宋体" w:cs="宋体"/>
                      <w:sz w:val="24"/>
                      <w:szCs w:val="24"/>
                      <w:lang w:val="en-US" w:eastAsia="zh-CN" w:bidi="ar"/>
                    </w:rPr>
                    <w:br w:type="textWrapping"/>
                  </w:r>
                  <w:r>
                    <w:rPr>
                      <w:rStyle w:val="18"/>
                      <w:rFonts w:hint="eastAsia" w:ascii="宋体" w:hAnsi="宋体" w:eastAsia="宋体" w:cs="宋体"/>
                      <w:sz w:val="24"/>
                      <w:szCs w:val="24"/>
                      <w:lang w:val="en-US" w:eastAsia="zh-CN" w:bidi="ar"/>
                    </w:rPr>
                    <w:t>7.HMI</w:t>
                  </w:r>
                  <w:r>
                    <w:rPr>
                      <w:rStyle w:val="19"/>
                      <w:rFonts w:hint="eastAsia" w:ascii="宋体" w:hAnsi="宋体" w:eastAsia="宋体" w:cs="宋体"/>
                      <w:sz w:val="24"/>
                      <w:szCs w:val="24"/>
                      <w:lang w:val="en-US" w:eastAsia="zh-CN" w:bidi="ar"/>
                    </w:rPr>
                    <w:t xml:space="preserve"> </w:t>
                  </w:r>
                  <w:r>
                    <w:rPr>
                      <w:rStyle w:val="18"/>
                      <w:rFonts w:hint="eastAsia" w:ascii="宋体" w:hAnsi="宋体" w:eastAsia="宋体" w:cs="宋体"/>
                      <w:sz w:val="24"/>
                      <w:szCs w:val="24"/>
                      <w:lang w:val="en-US" w:eastAsia="zh-CN" w:bidi="ar"/>
                    </w:rPr>
                    <w:t>7" TFT显示装置，可进行电气化调试；</w:t>
                  </w:r>
                  <w:r>
                    <w:rPr>
                      <w:rStyle w:val="18"/>
                      <w:rFonts w:hint="eastAsia" w:ascii="宋体" w:hAnsi="宋体" w:eastAsia="宋体" w:cs="宋体"/>
                      <w:sz w:val="24"/>
                      <w:szCs w:val="24"/>
                      <w:lang w:val="en-US" w:eastAsia="zh-CN" w:bidi="ar"/>
                    </w:rPr>
                    <w:br w:type="textWrapping"/>
                  </w:r>
                  <w:r>
                    <w:rPr>
                      <w:rStyle w:val="18"/>
                      <w:rFonts w:hint="eastAsia" w:ascii="宋体" w:hAnsi="宋体" w:eastAsia="宋体" w:cs="宋体"/>
                      <w:sz w:val="24"/>
                      <w:szCs w:val="24"/>
                      <w:lang w:val="en-US" w:eastAsia="zh-CN" w:bidi="ar"/>
                    </w:rPr>
                    <w:t>8.立体库、巷道堆垛机可模块化拆装，拼装使用；</w:t>
                  </w:r>
                  <w:r>
                    <w:rPr>
                      <w:rStyle w:val="18"/>
                      <w:rFonts w:hint="eastAsia" w:ascii="宋体" w:hAnsi="宋体" w:eastAsia="宋体" w:cs="宋体"/>
                      <w:sz w:val="24"/>
                      <w:szCs w:val="24"/>
                      <w:lang w:val="en-US" w:eastAsia="zh-CN" w:bidi="ar"/>
                    </w:rPr>
                    <w:br w:type="textWrapping"/>
                  </w:r>
                  <w:r>
                    <w:rPr>
                      <w:rStyle w:val="18"/>
                      <w:rFonts w:hint="eastAsia" w:ascii="宋体" w:hAnsi="宋体" w:eastAsia="宋体" w:cs="宋体"/>
                      <w:sz w:val="24"/>
                      <w:szCs w:val="24"/>
                      <w:lang w:val="en-US" w:eastAsia="zh-CN" w:bidi="ar"/>
                    </w:rPr>
                    <w:t>9.可与配套的AGV自动对接（配套的AGV小车）</w:t>
                  </w:r>
                  <w:r>
                    <w:rPr>
                      <w:rStyle w:val="18"/>
                      <w:rFonts w:hint="eastAsia" w:ascii="宋体" w:hAnsi="宋体" w:eastAsia="宋体" w:cs="宋体"/>
                      <w:sz w:val="24"/>
                      <w:szCs w:val="24"/>
                      <w:lang w:val="en-US" w:eastAsia="zh-CN" w:bidi="ar"/>
                    </w:rPr>
                    <w:br w:type="textWrapping"/>
                  </w:r>
                  <w:r>
                    <w:rPr>
                      <w:rStyle w:val="18"/>
                      <w:rFonts w:hint="eastAsia" w:ascii="宋体" w:hAnsi="宋体" w:eastAsia="宋体" w:cs="宋体"/>
                      <w:sz w:val="24"/>
                      <w:szCs w:val="24"/>
                      <w:lang w:val="en-US" w:eastAsia="zh-CN" w:bidi="ar"/>
                    </w:rPr>
                    <w:t>10.配置无线扫码枪1套；</w:t>
                  </w:r>
                  <w:r>
                    <w:rPr>
                      <w:rStyle w:val="18"/>
                      <w:rFonts w:hint="eastAsia" w:ascii="宋体" w:hAnsi="宋体" w:eastAsia="宋体" w:cs="宋体"/>
                      <w:sz w:val="24"/>
                      <w:szCs w:val="24"/>
                      <w:lang w:val="en-US" w:eastAsia="zh-CN" w:bidi="ar"/>
                    </w:rPr>
                    <w:br w:type="textWrapping"/>
                  </w:r>
                  <w:r>
                    <w:rPr>
                      <w:rStyle w:val="18"/>
                      <w:rFonts w:hint="eastAsia" w:ascii="宋体" w:hAnsi="宋体" w:eastAsia="宋体" w:cs="宋体"/>
                      <w:sz w:val="24"/>
                      <w:szCs w:val="24"/>
                      <w:lang w:val="en-US" w:eastAsia="zh-CN" w:bidi="ar"/>
                    </w:rPr>
                    <w:t>11.可根据WMS系统设置存储策略，自动按照策略执行出入库作业；</w:t>
                  </w:r>
                  <w:r>
                    <w:rPr>
                      <w:rStyle w:val="18"/>
                      <w:rFonts w:hint="eastAsia" w:ascii="宋体" w:hAnsi="宋体" w:eastAsia="宋体" w:cs="宋体"/>
                      <w:sz w:val="24"/>
                      <w:szCs w:val="24"/>
                      <w:lang w:val="en-US" w:eastAsia="zh-CN" w:bidi="ar"/>
                    </w:rPr>
                    <w:br w:type="textWrapping"/>
                  </w:r>
                  <w:r>
                    <w:rPr>
                      <w:rStyle w:val="18"/>
                      <w:rFonts w:hint="eastAsia" w:ascii="宋体" w:hAnsi="宋体" w:eastAsia="宋体" w:cs="宋体"/>
                      <w:sz w:val="24"/>
                      <w:szCs w:val="24"/>
                      <w:lang w:val="en-US" w:eastAsia="zh-CN" w:bidi="ar"/>
                    </w:rPr>
                    <w:t>12.教学要点：立体库技术应用包括但不限于堆垛机、货架、传感器、WMS策略设置、电气网、IOT教学、仓储规划、物料规划、安全管理、拆装运维等教学项目。</w:t>
                  </w:r>
                </w:p>
              </w:tc>
              <w:tc>
                <w:tcPr>
                  <w:tcW w:w="654" w:type="dxa"/>
                  <w:vMerge w:val="restart"/>
                  <w:tcBorders>
                    <w:top w:val="single" w:color="000000" w:sz="4" w:space="0"/>
                    <w:left w:val="single" w:color="000000" w:sz="4" w:space="0"/>
                    <w:bottom w:val="nil"/>
                    <w:right w:val="single" w:color="000000" w:sz="4" w:space="0"/>
                  </w:tcBorders>
                  <w:noWrap w:val="0"/>
                  <w:vAlign w:val="center"/>
                </w:tcPr>
                <w:p w14:paraId="4C1419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7091C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594AFA">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4F591E">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0B007D">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4A6812">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9A8079">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nil"/>
                    <w:right w:val="single" w:color="000000" w:sz="4" w:space="0"/>
                  </w:tcBorders>
                  <w:noWrap w:val="0"/>
                  <w:vAlign w:val="center"/>
                </w:tcPr>
                <w:p w14:paraId="6DF11BBF">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3493C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A6B338">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05EE6">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D81636">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7DA5F0">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544B2D">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nil"/>
                    <w:right w:val="single" w:color="000000" w:sz="4" w:space="0"/>
                  </w:tcBorders>
                  <w:noWrap w:val="0"/>
                  <w:vAlign w:val="center"/>
                </w:tcPr>
                <w:p w14:paraId="5ADCF5CC">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25AAD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687842">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0DCD8C">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0829A3">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6B9F6B">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58F058">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nil"/>
                    <w:right w:val="single" w:color="000000" w:sz="4" w:space="0"/>
                  </w:tcBorders>
                  <w:noWrap w:val="0"/>
                  <w:vAlign w:val="center"/>
                </w:tcPr>
                <w:p w14:paraId="6F573F27">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469E7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D4DE7D">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9AE360">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37385C">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A3E0E0">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3713D8">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nil"/>
                    <w:right w:val="single" w:color="000000" w:sz="4" w:space="0"/>
                  </w:tcBorders>
                  <w:noWrap w:val="0"/>
                  <w:vAlign w:val="center"/>
                </w:tcPr>
                <w:p w14:paraId="4DF8DDB0">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2E10F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148BF6">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6D41C6">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15BDD0">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28C098">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564A46">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nil"/>
                    <w:right w:val="single" w:color="000000" w:sz="4" w:space="0"/>
                  </w:tcBorders>
                  <w:noWrap w:val="0"/>
                  <w:vAlign w:val="center"/>
                </w:tcPr>
                <w:p w14:paraId="4561F2F7">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754A7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551367">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79DDC4">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EC983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C3F13C">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266DDC">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nil"/>
                    <w:right w:val="single" w:color="000000" w:sz="4" w:space="0"/>
                  </w:tcBorders>
                  <w:noWrap w:val="0"/>
                  <w:vAlign w:val="center"/>
                </w:tcPr>
                <w:p w14:paraId="6197AD7D">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27288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85DEAF">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B6B664">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D63BC9">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1FA886">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11F22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nil"/>
                    <w:right w:val="single" w:color="000000" w:sz="4" w:space="0"/>
                  </w:tcBorders>
                  <w:noWrap w:val="0"/>
                  <w:vAlign w:val="center"/>
                </w:tcPr>
                <w:p w14:paraId="4D00C5A3">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5EC93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4F9E7F">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F35005">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861713">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7A8CA0">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7354AC">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nil"/>
                    <w:right w:val="single" w:color="000000" w:sz="4" w:space="0"/>
                  </w:tcBorders>
                  <w:noWrap w:val="0"/>
                  <w:vAlign w:val="center"/>
                </w:tcPr>
                <w:p w14:paraId="1DD819B5">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0539E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EC6BED">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4AF907">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FC53B7">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2DA208">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0EE730">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nil"/>
                    <w:right w:val="single" w:color="000000" w:sz="4" w:space="0"/>
                  </w:tcBorders>
                  <w:noWrap w:val="0"/>
                  <w:vAlign w:val="center"/>
                </w:tcPr>
                <w:p w14:paraId="7D14DB1E">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751AC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37101A">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8AB017">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3B4DA7">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0FC1B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0978ED">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nil"/>
                    <w:right w:val="single" w:color="000000" w:sz="4" w:space="0"/>
                  </w:tcBorders>
                  <w:noWrap w:val="0"/>
                  <w:vAlign w:val="center"/>
                </w:tcPr>
                <w:p w14:paraId="774F69F5">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2727A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FE3A99">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4FCE96">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4722C5">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EAB1B8">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72FDC2">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nil"/>
                    <w:right w:val="single" w:color="000000" w:sz="4" w:space="0"/>
                  </w:tcBorders>
                  <w:noWrap w:val="0"/>
                  <w:vAlign w:val="center"/>
                </w:tcPr>
                <w:p w14:paraId="04F753AB">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55099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2A8148">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C30C5C">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D990E7">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5BFC3F">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A30735">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nil"/>
                    <w:right w:val="single" w:color="000000" w:sz="4" w:space="0"/>
                  </w:tcBorders>
                  <w:noWrap w:val="0"/>
                  <w:vAlign w:val="center"/>
                </w:tcPr>
                <w:p w14:paraId="54623F98">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4D791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5431F8">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013B09">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D53E4F">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50038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2C2696">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nil"/>
                    <w:right w:val="single" w:color="000000" w:sz="4" w:space="0"/>
                  </w:tcBorders>
                  <w:noWrap w:val="0"/>
                  <w:vAlign w:val="center"/>
                </w:tcPr>
                <w:p w14:paraId="11459024">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2E7D1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58A5CD">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4FDAA5">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45E45F">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B5B8DB">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127548">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nil"/>
                    <w:right w:val="single" w:color="000000" w:sz="4" w:space="0"/>
                  </w:tcBorders>
                  <w:noWrap w:val="0"/>
                  <w:vAlign w:val="center"/>
                </w:tcPr>
                <w:p w14:paraId="6E4F025F">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4D9D3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87DE46">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E47044">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7CECCF">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044737">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1AA6AE">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nil"/>
                    <w:right w:val="single" w:color="000000" w:sz="4" w:space="0"/>
                  </w:tcBorders>
                  <w:noWrap w:val="0"/>
                  <w:vAlign w:val="center"/>
                </w:tcPr>
                <w:p w14:paraId="25D5A3EC">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4E0F1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EA049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9D8403">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B077A7">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2C2F2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C3D93F">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nil"/>
                    <w:right w:val="single" w:color="000000" w:sz="4" w:space="0"/>
                  </w:tcBorders>
                  <w:noWrap w:val="0"/>
                  <w:vAlign w:val="center"/>
                </w:tcPr>
                <w:p w14:paraId="4A77120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27384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97EBF9">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68AB47">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F1C93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7F2173">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84F67F">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nil"/>
                    <w:right w:val="single" w:color="000000" w:sz="4" w:space="0"/>
                  </w:tcBorders>
                  <w:noWrap w:val="0"/>
                  <w:vAlign w:val="center"/>
                </w:tcPr>
                <w:p w14:paraId="00241495">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3B15B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F97A25">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275FDA">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C4DAEA">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210C8E">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D77C25">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nil"/>
                    <w:right w:val="single" w:color="000000" w:sz="4" w:space="0"/>
                  </w:tcBorders>
                  <w:noWrap w:val="0"/>
                  <w:vAlign w:val="center"/>
                </w:tcPr>
                <w:p w14:paraId="11EECF06">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53C7F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810EF9">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DE4C55">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579F76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954" w:type="dxa"/>
                  <w:vMerge w:val="restart"/>
                  <w:tcBorders>
                    <w:top w:val="single" w:color="000000" w:sz="4" w:space="0"/>
                    <w:left w:val="single" w:color="000000" w:sz="4" w:space="0"/>
                    <w:bottom w:val="single" w:color="000000" w:sz="4" w:space="0"/>
                    <w:right w:val="single" w:color="000000" w:sz="4" w:space="0"/>
                  </w:tcBorders>
                  <w:noWrap w:val="0"/>
                  <w:vAlign w:val="center"/>
                </w:tcPr>
                <w:p w14:paraId="660B58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空气压缩机模块</w:t>
                  </w:r>
                </w:p>
              </w:tc>
              <w:tc>
                <w:tcPr>
                  <w:tcW w:w="4960" w:type="dxa"/>
                  <w:vMerge w:val="restart"/>
                  <w:tcBorders>
                    <w:top w:val="single" w:color="000000" w:sz="4" w:space="0"/>
                    <w:left w:val="single" w:color="000000" w:sz="4" w:space="0"/>
                    <w:bottom w:val="single" w:color="000000" w:sz="4" w:space="0"/>
                    <w:right w:val="single" w:color="000000" w:sz="4" w:space="0"/>
                  </w:tcBorders>
                  <w:noWrap w:val="0"/>
                  <w:vAlign w:val="center"/>
                </w:tcPr>
                <w:p w14:paraId="7E49AB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1.静音无油空压机。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2.功率；600W;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3.最大排气量：118Lmin;</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4.容积：24L;</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噪音：52dB。</w:t>
                  </w:r>
                </w:p>
              </w:tc>
              <w:tc>
                <w:tcPr>
                  <w:tcW w:w="654" w:type="dxa"/>
                  <w:vMerge w:val="restart"/>
                  <w:tcBorders>
                    <w:top w:val="single" w:color="000000" w:sz="4" w:space="0"/>
                    <w:left w:val="single" w:color="000000" w:sz="4" w:space="0"/>
                    <w:bottom w:val="single" w:color="000000" w:sz="4" w:space="0"/>
                    <w:right w:val="single" w:color="000000" w:sz="4" w:space="0"/>
                  </w:tcBorders>
                  <w:noWrap w:val="0"/>
                  <w:vAlign w:val="center"/>
                </w:tcPr>
                <w:p w14:paraId="3239D7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0F42A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9271FD">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56FB92">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8EFDAE">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B5338C">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27DF9D">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D8E0DA">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33148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0ED696">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1DD787">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DCDF45">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BB4348">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FA4AE8">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7100ED">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40530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056CB8">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62A11C">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9820F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46DEAD">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637F47">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D69A34">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7B26E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D519E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87B68E">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D6DD9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690EF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4E6B33">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F0CDDE">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17034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5492D5">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D11E8A">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934EB4">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2C6BBE">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5D1A35">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7680B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0072B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B90847">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6634AD">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restart"/>
                  <w:tcBorders>
                    <w:top w:val="single" w:color="000000" w:sz="4" w:space="0"/>
                    <w:left w:val="single" w:color="000000" w:sz="4" w:space="0"/>
                    <w:bottom w:val="single" w:color="000000" w:sz="4" w:space="0"/>
                    <w:right w:val="single" w:color="000000" w:sz="4" w:space="0"/>
                  </w:tcBorders>
                  <w:noWrap w:val="0"/>
                  <w:vAlign w:val="center"/>
                </w:tcPr>
                <w:p w14:paraId="337358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54" w:type="dxa"/>
                  <w:vMerge w:val="restart"/>
                  <w:tcBorders>
                    <w:top w:val="single" w:color="000000" w:sz="4" w:space="0"/>
                    <w:left w:val="single" w:color="000000" w:sz="4" w:space="0"/>
                    <w:bottom w:val="single" w:color="000000" w:sz="4" w:space="0"/>
                    <w:right w:val="single" w:color="000000" w:sz="4" w:space="0"/>
                  </w:tcBorders>
                  <w:noWrap w:val="0"/>
                  <w:vAlign w:val="center"/>
                </w:tcPr>
                <w:p w14:paraId="256E98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嵌入式工业控制装置</w:t>
                  </w:r>
                </w:p>
              </w:tc>
              <w:tc>
                <w:tcPr>
                  <w:tcW w:w="4960" w:type="dxa"/>
                  <w:vMerge w:val="restart"/>
                  <w:tcBorders>
                    <w:top w:val="single" w:color="000000" w:sz="4" w:space="0"/>
                    <w:left w:val="single" w:color="000000" w:sz="4" w:space="0"/>
                    <w:bottom w:val="nil"/>
                    <w:right w:val="single" w:color="000000" w:sz="4" w:space="0"/>
                  </w:tcBorders>
                  <w:noWrap w:val="0"/>
                  <w:vAlign w:val="center"/>
                </w:tcPr>
                <w:p w14:paraId="53EF1B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1.嵌入式工业控制装置；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2.满足多业务并发运算、数据整合调度；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3.保障数据安全存储与快速读写；</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承载各业务系统运行与多设备数据交互，保障多系统并发运算稳定可靠，支撑全流程数据安全存储与高速读写。</w:t>
                  </w:r>
                </w:p>
              </w:tc>
              <w:tc>
                <w:tcPr>
                  <w:tcW w:w="654" w:type="dxa"/>
                  <w:vMerge w:val="restart"/>
                  <w:tcBorders>
                    <w:top w:val="single" w:color="000000" w:sz="4" w:space="0"/>
                    <w:left w:val="single" w:color="000000" w:sz="4" w:space="0"/>
                    <w:bottom w:val="single" w:color="000000" w:sz="4" w:space="0"/>
                    <w:right w:val="single" w:color="000000" w:sz="4" w:space="0"/>
                  </w:tcBorders>
                  <w:noWrap w:val="0"/>
                  <w:vAlign w:val="center"/>
                </w:tcPr>
                <w:p w14:paraId="0C09DC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0059D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06285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BC53C8">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A6D1E9">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E7E220">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nil"/>
                    <w:right w:val="single" w:color="000000" w:sz="4" w:space="0"/>
                  </w:tcBorders>
                  <w:noWrap w:val="0"/>
                  <w:vAlign w:val="center"/>
                </w:tcPr>
                <w:p w14:paraId="0E20EADB">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154439">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58C27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EE407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164940">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246668">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0257C5">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nil"/>
                    <w:right w:val="single" w:color="000000" w:sz="4" w:space="0"/>
                  </w:tcBorders>
                  <w:noWrap w:val="0"/>
                  <w:vAlign w:val="center"/>
                </w:tcPr>
                <w:p w14:paraId="4B480A8E">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11C86A">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4489D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18C7A8">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3E69AC">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AF55EE">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95BBC7">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nil"/>
                    <w:right w:val="single" w:color="000000" w:sz="4" w:space="0"/>
                  </w:tcBorders>
                  <w:noWrap w:val="0"/>
                  <w:vAlign w:val="center"/>
                </w:tcPr>
                <w:p w14:paraId="7DD65514">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96D294">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5B25B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F8FC69">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43D813">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D5AC46">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17A67D">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nil"/>
                    <w:right w:val="single" w:color="000000" w:sz="4" w:space="0"/>
                  </w:tcBorders>
                  <w:noWrap w:val="0"/>
                  <w:vAlign w:val="center"/>
                </w:tcPr>
                <w:p w14:paraId="49FA84E7">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AE2D43">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1174B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A7C86B">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2F3335">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318151">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671F30">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nil"/>
                    <w:right w:val="single" w:color="000000" w:sz="4" w:space="0"/>
                  </w:tcBorders>
                  <w:noWrap w:val="0"/>
                  <w:vAlign w:val="center"/>
                </w:tcPr>
                <w:p w14:paraId="456346B3">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40FD8E">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61B3A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6B32A6">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A0F836">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B8A01C">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9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182F07">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960" w:type="dxa"/>
                  <w:vMerge w:val="continue"/>
                  <w:tcBorders>
                    <w:top w:val="single" w:color="000000" w:sz="4" w:space="0"/>
                    <w:left w:val="single" w:color="000000" w:sz="4" w:space="0"/>
                    <w:bottom w:val="nil"/>
                    <w:right w:val="single" w:color="000000" w:sz="4" w:space="0"/>
                  </w:tcBorders>
                  <w:noWrap w:val="0"/>
                  <w:vAlign w:val="center"/>
                </w:tcPr>
                <w:p w14:paraId="5312CA75">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F14369">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r>
            <w:tr w14:paraId="2393A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DAD474">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E8E365">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02C5BB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54" w:type="dxa"/>
                  <w:tcBorders>
                    <w:top w:val="single" w:color="000000" w:sz="4" w:space="0"/>
                    <w:left w:val="single" w:color="000000" w:sz="4" w:space="0"/>
                    <w:bottom w:val="single" w:color="000000" w:sz="4" w:space="0"/>
                    <w:right w:val="single" w:color="000000" w:sz="4" w:space="0"/>
                  </w:tcBorders>
                  <w:noWrap w:val="0"/>
                  <w:vAlign w:val="center"/>
                </w:tcPr>
                <w:p w14:paraId="6D9125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条形码打印机</w:t>
                  </w:r>
                </w:p>
              </w:tc>
              <w:tc>
                <w:tcPr>
                  <w:tcW w:w="4960" w:type="dxa"/>
                  <w:tcBorders>
                    <w:top w:val="single" w:color="000000" w:sz="4" w:space="0"/>
                    <w:left w:val="single" w:color="000000" w:sz="4" w:space="0"/>
                    <w:bottom w:val="single" w:color="000000" w:sz="4" w:space="0"/>
                    <w:right w:val="single" w:color="000000" w:sz="4" w:space="0"/>
                  </w:tcBorders>
                  <w:noWrap w:val="0"/>
                  <w:vAlign w:val="center"/>
                </w:tcPr>
                <w:p w14:paraId="34A079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物流条形码打印，配合出入库操作，配合无线扫码枪使用。</w:t>
                  </w:r>
                </w:p>
              </w:tc>
              <w:tc>
                <w:tcPr>
                  <w:tcW w:w="654" w:type="dxa"/>
                  <w:tcBorders>
                    <w:top w:val="single" w:color="000000" w:sz="4" w:space="0"/>
                    <w:left w:val="single" w:color="000000" w:sz="4" w:space="0"/>
                    <w:bottom w:val="single" w:color="000000" w:sz="4" w:space="0"/>
                    <w:right w:val="single" w:color="000000" w:sz="4" w:space="0"/>
                  </w:tcBorders>
                  <w:noWrap w:val="0"/>
                  <w:vAlign w:val="center"/>
                </w:tcPr>
                <w:p w14:paraId="4278C3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1套</w:t>
                  </w:r>
                </w:p>
              </w:tc>
            </w:tr>
            <w:tr w14:paraId="6569B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FEBCE3">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4F76E4">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b/>
                      <w:bCs/>
                      <w:i w:val="0"/>
                      <w:iCs w:val="0"/>
                      <w:color w:val="000000"/>
                      <w:sz w:val="24"/>
                      <w:szCs w:val="24"/>
                      <w:u w:val="none"/>
                    </w:rPr>
                  </w:pP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4C71B9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954" w:type="dxa"/>
                  <w:tcBorders>
                    <w:top w:val="single" w:color="000000" w:sz="4" w:space="0"/>
                    <w:left w:val="single" w:color="000000" w:sz="4" w:space="0"/>
                    <w:bottom w:val="single" w:color="000000" w:sz="4" w:space="0"/>
                    <w:right w:val="single" w:color="000000" w:sz="4" w:space="0"/>
                  </w:tcBorders>
                  <w:noWrap w:val="0"/>
                  <w:vAlign w:val="center"/>
                </w:tcPr>
                <w:p w14:paraId="2B0405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无线扫码枪</w:t>
                  </w:r>
                </w:p>
              </w:tc>
              <w:tc>
                <w:tcPr>
                  <w:tcW w:w="4960" w:type="dxa"/>
                  <w:tcBorders>
                    <w:top w:val="single" w:color="000000" w:sz="4" w:space="0"/>
                    <w:left w:val="single" w:color="000000" w:sz="4" w:space="0"/>
                    <w:bottom w:val="single" w:color="000000" w:sz="4" w:space="0"/>
                    <w:right w:val="single" w:color="000000" w:sz="4" w:space="0"/>
                  </w:tcBorders>
                  <w:noWrap w:val="0"/>
                  <w:vAlign w:val="center"/>
                </w:tcPr>
                <w:p w14:paraId="2E928A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具备WIFI功能</w:t>
                  </w:r>
                </w:p>
              </w:tc>
              <w:tc>
                <w:tcPr>
                  <w:tcW w:w="654" w:type="dxa"/>
                  <w:tcBorders>
                    <w:top w:val="single" w:color="000000" w:sz="4" w:space="0"/>
                    <w:left w:val="single" w:color="000000" w:sz="4" w:space="0"/>
                    <w:bottom w:val="single" w:color="000000" w:sz="4" w:space="0"/>
                    <w:right w:val="single" w:color="000000" w:sz="4" w:space="0"/>
                  </w:tcBorders>
                  <w:noWrap w:val="0"/>
                  <w:vAlign w:val="center"/>
                </w:tcPr>
                <w:p w14:paraId="28FDA4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1套</w:t>
                  </w:r>
                </w:p>
              </w:tc>
            </w:tr>
            <w:tr w14:paraId="34880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0" w:hRule="atLeast"/>
                <w:jc w:val="center"/>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3F2C64">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i w:val="0"/>
                      <w:iCs w:val="0"/>
                      <w:color w:val="000000"/>
                      <w:sz w:val="24"/>
                      <w:szCs w:val="24"/>
                      <w:u w:val="none"/>
                    </w:rPr>
                  </w:pPr>
                </w:p>
              </w:tc>
              <w:tc>
                <w:tcPr>
                  <w:tcW w:w="429" w:type="dxa"/>
                  <w:tcBorders>
                    <w:top w:val="single" w:color="000000" w:sz="4" w:space="0"/>
                    <w:left w:val="single" w:color="000000" w:sz="4" w:space="0"/>
                    <w:bottom w:val="single" w:color="000000" w:sz="4" w:space="0"/>
                    <w:right w:val="single" w:color="000000" w:sz="4" w:space="0"/>
                  </w:tcBorders>
                  <w:noWrap w:val="0"/>
                  <w:vAlign w:val="center"/>
                </w:tcPr>
                <w:p w14:paraId="387FBD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软件</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240AB7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954" w:type="dxa"/>
                  <w:tcBorders>
                    <w:top w:val="single" w:color="000000" w:sz="4" w:space="0"/>
                    <w:left w:val="single" w:color="000000" w:sz="4" w:space="0"/>
                    <w:bottom w:val="single" w:color="000000" w:sz="4" w:space="0"/>
                    <w:right w:val="single" w:color="000000" w:sz="4" w:space="0"/>
                  </w:tcBorders>
                  <w:noWrap w:val="0"/>
                  <w:vAlign w:val="center"/>
                </w:tcPr>
                <w:p w14:paraId="0CE635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智能仓储管理系统</w:t>
                  </w:r>
                </w:p>
              </w:tc>
              <w:tc>
                <w:tcPr>
                  <w:tcW w:w="4960" w:type="dxa"/>
                  <w:tcBorders>
                    <w:top w:val="single" w:color="000000" w:sz="4" w:space="0"/>
                    <w:left w:val="single" w:color="000000" w:sz="4" w:space="0"/>
                    <w:bottom w:val="single" w:color="000000" w:sz="4" w:space="0"/>
                    <w:right w:val="single" w:color="000000" w:sz="4" w:space="0"/>
                  </w:tcBorders>
                  <w:noWrap w:val="0"/>
                  <w:vAlign w:val="center"/>
                </w:tcPr>
                <w:p w14:paraId="095E9F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（1）系统需具备自主知识产权，正版软件，全中文操作界面，可提供持续的中文技术支持服务。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（2）系统应为B/S架构，支持大规模并发用户在线使用，同时提供快速、优化的查询处理算法，保证系统的及时响应。</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（3）系统应提供完整的软件安装手册、系统操作手册，提供全面的用户指导与培训。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（4）系统应提供标准API接口及接口文档，支持第三方系统集成和调用。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（5）系统功能应包括但不限于以下功能模块：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一、 系统管理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 ★系统支持多租户数据隔离，多租户独立运行数据互不干扰。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 组织管理：系统支持按组织机构管理用户，分配用户所属角色、管理用户数据权限、重置用户密码，机构数据和用户数据均支持导入和导出。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 权限管理：系统支持管理角色信息，支持设置用户类型和角色分类，对角色授权功能菜单，角色分配数据权限，角色分配用户，支持批量添加或批量取消角色关联的用户。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 ★安全审计：系统支持安全审计功能。账号密码审计包括未修改初始密码、使用简单密码、定期未修改密码、长期未登录、未设置密码等类型，审计数据支持导出。菜单权限审计可查看每个功能菜单可访问的全部用户。用户权限审计可查看每个用户具有的菜单权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 参数设置：系统支持通过该功能模块设置系统参数，包括桌面仪表盘首页地址、主导航菜单显示风格、侧边栏的默认显示样式、默认皮肤样式、账号初始密码、初始密码修改策略、账号密码修改策略、账号密码修改策略验证周期、密码修改多少次内不允许重复、账号密码修改最低安全等级等参数的设置，支持清理缓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 字典管理：系统支持通过该功能模块设置字典数据，包括类型、单位、材质等系统中的选择项，支持用户根据业务情况自定义扩展。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 服务器监控：系统支持对服务器运行状态进行监控，包括CPU、内存、磁盘等的属性和使用率监控，支持查看服务器的操作系统和系统架构，支持查看服务启动时间、运行时长、启动参数等。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 访问日志：系统支持自动记录完整的系统访问日志，包括访问日志、接入日志、修改日志、查询日志、登录登出日志，日志信息包括日志标题、请求地址、日志类型、操作用户、业务类型、业务主键、操作时间、客户端IP、设备名称、浏览器名、响应时间等，其中修改日志支持对比修改数据的新旧值差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 数据备份：支持通过数据库操作工具软件进行系统数据库的备份和恢复备份，以支持阶段性的数据留档。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二、 基础数据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 物料管理：系统支持物料管理，设置物料大类、保质期、呆滞期、最低库存、最高库存、重量、体积等信息，支持按模板导入物料数据。支持按物料管理其包装属性单位，设置管理单位和基础单位及不同单位间的换算数，支持不同单位的条码打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 托盘管理：系统支持管理托盘信息，设置托盘条码、托盘RFID信息，查看和管理托盘状态，支持查看托盘在用信息，支持托盘条码打印。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 库房管理：系统支持全面管理库房，包含库房、道口、库区、库位的管理，支持收货待入库区、地堆区、高位货架区、不合格品区等类型的库区管理，支持冻结和解冻库位，支持库位条码打印。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 客户管理：系统支持管理客户信息，在系统出库业务功能关联调用。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 供应商管理：系统支持管理供应商信息，在系统中发布厂外拉动需求、供应商门户和收货登记业务功能关联调用。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三、 ★系统策略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 物料大类上架库位预设：系统支持对高位货架区上架的物料进行预先设置按物料大类分配库位范围，以满足集中存放的业务需求。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 ABC种类上架库位预设：系统支持对高位货架区上架的物料进行预先设置ABC种类并分配库位范围，以满足按照ABC原则存放的业务需求。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 策略规则与参数设置：系统支持设置上架规则、拣货规则、波次规则，其中上架规则支持递进式寻找库位、产品相对集中原则和ABC原则，拣货规则支持先进先出、先到期先出货、后进先出、库位利用率优先，波次规则支持按同客户合并、按同物料合并，支持设置策略参数，如波次是否开启、波次合并频率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四、物料拉动（厂外）</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 MIN/MAX拉动：系统支持通过设置物料最小库存MIN值和最大库存MAX值，当库存触发或低于MIN值时，自动产生物料拉动需求到MAX数量。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 人工拉动：系统支持用户自定义维护物料拉动需求进行库存补充。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 需求发布：系统支持将MIN/MAX拉动或人工拉动的需求发布给供应商，同时生成拉动单，拉动单支持预览和打印。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五、物料拉动（厂内）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 拉动配置：系统支持设置厂内拉动配置，指定线边库位与物料对应关系及补料模式和库存min/max值，对于自动拉动模式，系统支持自动按照线边库位物料库存与配置数据进行自动计算产生厂内拉动的配送单。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 配送管理：配送单支持预览和打印，支持按单据下发形成配送任务。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六、供应商门户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 需求接收：系统支持供应商通过登录系统查看和接收处理发布给自己的物料需求。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 供应商发货：系统支持供应商对已接收的需求进行发货操作。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七、收货入库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 收货登记：系统支持对供应商发货的物料进行收货登记处理，按单据明细登记物料收货数量。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  入库检验：系统支持对收货登记的数据进行入库检验操作，按物料品质区分正常与不合格进行检验记录。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 入库管理：系统支持管理入库完整业务流程，对于入库高位货架区的支持分拖组盘和上架处理，其他类型库区的指定库区库位，入库完成后进行码放确认，同步系统库存台账，并记录入库的库存事务流水记录。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八、库内管理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 库存查询：系统支持查询物料实时库存明细数据，查看物料存放库房库区库位具体位置、库存数量、库存时长、剩余保质期等信息，支持库存冻结和解冻操作。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 台账查询：系统支持查询物料实时台账信息，整体查询统计物料各种状态的总台账数量。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 库存事务查询：系统支持查询库存事务流水记录，包含入库、出库、移库、盘点等对库存进行动碰的业务详细记录。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 移库管理：系统支持移库管理业务功能，支持用户创建移库计划和生成移库任务，移库不改变物料的原入库时间，移库任务执行时自动记录移库的库存事务流水。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  库位一览：系统支持选择库房库区进行可视化查看库位状态，按颜色标识空闲、占用、有货、冻结等库位状态。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 盘点管理：系统支持盘点管理业务功能，支持按库房、物料、时间范围等指定条件选择盘点范围，盘点不改变物料的原入库时间，支持基于有差异的盘点结果生成差异盘点单进行差异项的复盘，对于盘盈盘亏的结果支持工作流审批以修正库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九、出库管理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 出库管理：系统支持管理出库完整业务流程，对于高位货架区的进行拣货处理，其他类型库区的分配库存出库，出库完成后进行拣货确认，同步系统库存台账，并记录出库的库存事务流水记录。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 波次作业：系统支持按照波次进行出库数据的合并，支持同客户合并策略或同物料合并策略，对于同物料合并波次出库的，支持播种业务。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十、 开发运维工具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 文件管理工具：支持文件上传、下载、在线预览、文件移动、 分享等功能，文件格式不限于图片、Word、Excel、PPT、PDF、音频、视频等内容，支持按分类管理上传文件资源。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 ★报表配置工具：支持用户自定义配置数据报表，通过报表设计器配置报表界面，绑定数据源、预览输出报表，报表查询统计数据结果支持导出。系统内置呆滞物料统计、物料最低库存统计、物料最高库存统计、临期物料统计报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 流程配置工具：支持用户自定义配置工作流程模型，配置流程节点，流程模型支持导入和导出功能，流程模型支持关联业务表单、流程调试、流程部署等功能。</w:t>
                  </w:r>
                </w:p>
              </w:tc>
              <w:tc>
                <w:tcPr>
                  <w:tcW w:w="654" w:type="dxa"/>
                  <w:tcBorders>
                    <w:top w:val="single" w:color="000000" w:sz="4" w:space="0"/>
                    <w:left w:val="single" w:color="000000" w:sz="4" w:space="0"/>
                    <w:bottom w:val="single" w:color="000000" w:sz="4" w:space="0"/>
                    <w:right w:val="single" w:color="000000" w:sz="4" w:space="0"/>
                  </w:tcBorders>
                  <w:noWrap w:val="0"/>
                  <w:vAlign w:val="center"/>
                </w:tcPr>
                <w:p w14:paraId="02A707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bl>
          <w:p w14:paraId="2440ACE5">
            <w:pPr>
              <w:pStyle w:val="2"/>
              <w:ind w:left="0" w:leftChars="0" w:firstLine="0" w:firstLineChars="0"/>
              <w:rPr>
                <w:rFonts w:hint="eastAsia" w:ascii="宋体" w:hAnsi="宋体" w:eastAsia="宋体" w:cs="宋体"/>
                <w:sz w:val="24"/>
                <w:szCs w:val="24"/>
              </w:rPr>
            </w:pPr>
          </w:p>
        </w:tc>
      </w:tr>
    </w:tbl>
    <w:p w14:paraId="2019FC60">
      <w:pPr>
        <w:rPr>
          <w:rStyle w:val="15"/>
          <w:rFonts w:hint="default" w:ascii="宋体" w:hAnsi="宋体" w:eastAsia="宋体" w:cs="宋体"/>
          <w:lang w:val="en-US" w:eastAsia="zh-CN"/>
        </w:rPr>
      </w:pPr>
    </w:p>
    <w:p w14:paraId="5B7DFCD0">
      <w:pPr>
        <w:rPr>
          <w:rStyle w:val="15"/>
          <w:rFonts w:hint="default" w:ascii="宋体" w:hAnsi="宋体" w:eastAsia="宋体" w:cs="宋体"/>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FjZmEwOGYwM2FmZjFjMDQyNmQyZmJmZWZmMjcxMDQifQ=="/>
  </w:docVars>
  <w:rsids>
    <w:rsidRoot w:val="00000000"/>
    <w:rsid w:val="00E46AD2"/>
    <w:rsid w:val="014E1599"/>
    <w:rsid w:val="01586CAE"/>
    <w:rsid w:val="04274D7A"/>
    <w:rsid w:val="04F15F4C"/>
    <w:rsid w:val="07DA3B6F"/>
    <w:rsid w:val="09436690"/>
    <w:rsid w:val="099C263F"/>
    <w:rsid w:val="0AA479FE"/>
    <w:rsid w:val="0AB063A2"/>
    <w:rsid w:val="0C8C4E6A"/>
    <w:rsid w:val="0F3E087B"/>
    <w:rsid w:val="0F5E5722"/>
    <w:rsid w:val="12C30051"/>
    <w:rsid w:val="1452128F"/>
    <w:rsid w:val="19C63258"/>
    <w:rsid w:val="1C6F7ABD"/>
    <w:rsid w:val="1D9C2305"/>
    <w:rsid w:val="1FA4694F"/>
    <w:rsid w:val="25A34875"/>
    <w:rsid w:val="26DC7DF8"/>
    <w:rsid w:val="2826784C"/>
    <w:rsid w:val="2C3A54B1"/>
    <w:rsid w:val="3257362D"/>
    <w:rsid w:val="346051D7"/>
    <w:rsid w:val="35C96EF8"/>
    <w:rsid w:val="36AC4B0D"/>
    <w:rsid w:val="373561AE"/>
    <w:rsid w:val="37C404E8"/>
    <w:rsid w:val="389A2654"/>
    <w:rsid w:val="3A7C5D33"/>
    <w:rsid w:val="3C775C32"/>
    <w:rsid w:val="3D09729A"/>
    <w:rsid w:val="3E0553DD"/>
    <w:rsid w:val="416F3BBA"/>
    <w:rsid w:val="41B757E4"/>
    <w:rsid w:val="45107462"/>
    <w:rsid w:val="4909382F"/>
    <w:rsid w:val="4A0F76E1"/>
    <w:rsid w:val="4BDD4A5C"/>
    <w:rsid w:val="4C5F411E"/>
    <w:rsid w:val="4E021AA4"/>
    <w:rsid w:val="51DE66E9"/>
    <w:rsid w:val="53A771E4"/>
    <w:rsid w:val="56234882"/>
    <w:rsid w:val="58FE018C"/>
    <w:rsid w:val="5D9766D9"/>
    <w:rsid w:val="5E822169"/>
    <w:rsid w:val="6C447908"/>
    <w:rsid w:val="711165F5"/>
    <w:rsid w:val="71274D0B"/>
    <w:rsid w:val="765B5EE0"/>
    <w:rsid w:val="77023862"/>
    <w:rsid w:val="77825766"/>
    <w:rsid w:val="794B33B9"/>
    <w:rsid w:val="796300E3"/>
    <w:rsid w:val="79ED441B"/>
    <w:rsid w:val="7B822B1B"/>
    <w:rsid w:val="7CE34F16"/>
    <w:rsid w:val="7FA66F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pPr>
    <w:rPr>
      <w:rFonts w:ascii="Times New Roman" w:hAnsi="Times New Roman" w:cs="Times New Roman"/>
    </w:rPr>
  </w:style>
  <w:style w:type="paragraph" w:styleId="3">
    <w:name w:val="Body Text Indent"/>
    <w:basedOn w:val="1"/>
    <w:qFormat/>
    <w:uiPriority w:val="0"/>
    <w:pPr>
      <w:ind w:firstLine="830" w:firstLineChars="352"/>
    </w:pPr>
    <w:rPr>
      <w:rFonts w:ascii="仿宋_GB2312" w:eastAsia="仿宋_GB2312"/>
      <w:sz w:val="32"/>
      <w:szCs w:val="20"/>
    </w:rPr>
  </w:style>
  <w:style w:type="paragraph" w:styleId="4">
    <w:name w:val="annotation text"/>
    <w:basedOn w:val="1"/>
    <w:semiHidden/>
    <w:unhideWhenUsed/>
    <w:qFormat/>
    <w:uiPriority w:val="99"/>
    <w:pPr>
      <w:widowControl w:val="0"/>
      <w:spacing w:line="520" w:lineRule="exact"/>
      <w:ind w:firstLine="200" w:firstLineChars="200"/>
    </w:pPr>
    <w:rPr>
      <w:rFonts w:eastAsia="宋体" w:asciiTheme="minorHAnsi" w:hAnsiTheme="minorHAnsi" w:cstheme="minorBidi"/>
      <w:kern w:val="2"/>
      <w:sz w:val="28"/>
      <w:szCs w:val="21"/>
    </w:rPr>
  </w:style>
  <w:style w:type="paragraph" w:styleId="5">
    <w:name w:val="Body Text"/>
    <w:basedOn w:val="1"/>
    <w:next w:val="1"/>
    <w:qFormat/>
    <w:uiPriority w:val="0"/>
    <w:pPr>
      <w:spacing w:after="120" w:afterLines="0"/>
    </w:pPr>
  </w:style>
  <w:style w:type="paragraph" w:styleId="6">
    <w:name w:val="footer"/>
    <w:basedOn w:val="1"/>
    <w:unhideWhenUsed/>
    <w:qFormat/>
    <w:uiPriority w:val="99"/>
    <w:pPr>
      <w:tabs>
        <w:tab w:val="center" w:pos="4153"/>
        <w:tab w:val="right" w:pos="8306"/>
      </w:tabs>
      <w:snapToGrid w:val="0"/>
    </w:pPr>
    <w:rPr>
      <w:sz w:val="18"/>
      <w:szCs w:val="18"/>
    </w:rPr>
  </w:style>
  <w:style w:type="paragraph" w:styleId="7">
    <w:name w:val="Body Text First Indent"/>
    <w:basedOn w:val="5"/>
    <w:unhideWhenUsed/>
    <w:qFormat/>
    <w:uiPriority w:val="99"/>
    <w:pPr>
      <w:ind w:firstLine="420" w:firstLineChars="100"/>
    </w:pPr>
  </w:style>
  <w:style w:type="table" w:styleId="9">
    <w:name w:val="Table Grid"/>
    <w:basedOn w:val="8"/>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0"/>
    <w:rPr>
      <w:b/>
    </w:rPr>
  </w:style>
  <w:style w:type="paragraph" w:customStyle="1" w:styleId="12">
    <w:name w:val="正文正"/>
    <w:basedOn w:val="1"/>
    <w:qFormat/>
    <w:uiPriority w:val="99"/>
    <w:pPr>
      <w:spacing w:line="560" w:lineRule="exact"/>
      <w:ind w:firstLine="561"/>
    </w:pPr>
    <w:rPr>
      <w:sz w:val="28"/>
    </w:rPr>
  </w:style>
  <w:style w:type="paragraph" w:customStyle="1" w:styleId="13">
    <w:name w:val="首行缩进"/>
    <w:basedOn w:val="1"/>
    <w:qFormat/>
    <w:uiPriority w:val="0"/>
    <w:pPr>
      <w:spacing w:line="360" w:lineRule="auto"/>
      <w:ind w:firstLine="480" w:firstLineChars="200"/>
    </w:pPr>
    <w:rPr>
      <w:sz w:val="24"/>
      <w:lang w:val="zh-CN"/>
    </w:rPr>
  </w:style>
  <w:style w:type="paragraph" w:customStyle="1" w:styleId="14">
    <w:name w:val="Body text|1"/>
    <w:basedOn w:val="1"/>
    <w:qFormat/>
    <w:uiPriority w:val="0"/>
    <w:pPr>
      <w:widowControl w:val="0"/>
      <w:shd w:val="clear" w:color="auto" w:fill="auto"/>
      <w:spacing w:line="290" w:lineRule="auto"/>
      <w:ind w:firstLine="60"/>
    </w:pPr>
    <w:rPr>
      <w:rFonts w:ascii="宋体" w:hAnsi="宋体" w:eastAsia="宋体" w:cs="宋体"/>
      <w:sz w:val="20"/>
      <w:szCs w:val="20"/>
      <w:u w:val="none"/>
      <w:shd w:val="clear" w:color="auto" w:fill="FFFFFF"/>
      <w:lang w:val="zh-TW" w:eastAsia="zh-TW" w:bidi="zh-TW"/>
    </w:rPr>
  </w:style>
  <w:style w:type="character" w:customStyle="1" w:styleId="15">
    <w:name w:val="本文正文 Char1 Char Char Char Char Char Char Char Char Char Char Char Char Char Char Char Char Char Char Char Char Char Char Char Char Char Char"/>
    <w:link w:val="16"/>
    <w:qFormat/>
    <w:uiPriority w:val="0"/>
    <w:rPr>
      <w:rFonts w:ascii="宋体" w:hAnsi="宋体" w:cstheme="minorBidi"/>
      <w:kern w:val="2"/>
      <w:sz w:val="24"/>
      <w:szCs w:val="24"/>
    </w:rPr>
  </w:style>
  <w:style w:type="paragraph" w:customStyle="1" w:styleId="16">
    <w:name w:val="本文正文 Char1 Char Char Char Char Char Char Char Char Char Char Char Char Char Char Char Char Char Char Char Char Char Char Char Char"/>
    <w:basedOn w:val="1"/>
    <w:link w:val="15"/>
    <w:qFormat/>
    <w:uiPriority w:val="0"/>
    <w:pPr>
      <w:spacing w:line="480" w:lineRule="exact"/>
      <w:ind w:firstLine="200" w:firstLineChars="200"/>
    </w:pPr>
    <w:rPr>
      <w:rFonts w:ascii="宋体" w:hAnsi="宋体" w:cstheme="minorBidi"/>
      <w:kern w:val="2"/>
      <w:sz w:val="24"/>
      <w:szCs w:val="24"/>
    </w:rPr>
  </w:style>
  <w:style w:type="paragraph" w:customStyle="1" w:styleId="17">
    <w:name w:val="null3"/>
    <w:hidden/>
    <w:qFormat/>
    <w:uiPriority w:val="0"/>
    <w:rPr>
      <w:rFonts w:hint="eastAsia" w:asciiTheme="minorHAnsi" w:hAnsiTheme="minorHAnsi" w:eastAsiaTheme="minorEastAsia" w:cstheme="minorBidi"/>
      <w:lang w:val="en-US" w:eastAsia="zh-Hans" w:bidi="ar-SA"/>
    </w:rPr>
  </w:style>
  <w:style w:type="character" w:customStyle="1" w:styleId="18">
    <w:name w:val="font21"/>
    <w:basedOn w:val="10"/>
    <w:qFormat/>
    <w:uiPriority w:val="0"/>
    <w:rPr>
      <w:rFonts w:hint="eastAsia" w:ascii="仿宋" w:hAnsi="仿宋" w:eastAsia="仿宋" w:cs="仿宋"/>
      <w:color w:val="000000"/>
      <w:sz w:val="20"/>
      <w:szCs w:val="20"/>
      <w:u w:val="none"/>
    </w:rPr>
  </w:style>
  <w:style w:type="character" w:customStyle="1" w:styleId="19">
    <w:name w:val="font41"/>
    <w:basedOn w:val="10"/>
    <w:qFormat/>
    <w:uiPriority w:val="0"/>
    <w:rPr>
      <w:rFonts w:ascii="Arial" w:hAnsi="Arial" w:cs="Arial"/>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4708</Words>
  <Characters>4952</Characters>
  <Lines>0</Lines>
  <Paragraphs>0</Paragraphs>
  <TotalTime>0</TotalTime>
  <ScaleCrop>false</ScaleCrop>
  <LinksUpToDate>false</LinksUpToDate>
  <CharactersWithSpaces>5062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2023-02-28T01:50:00Z</dcterms:created>
  <dc:creator>Administrator</dc:creator>
  <cp:lastModifiedBy>c1</cp:lastModifiedBy>
  <dcterms:modified xsi:type="dcterms:W3CDTF">2026-09-16T03:17:58Z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0E17BB260CA3412A897A2D578A542B39</vt:lpwstr>
  </property>
  <property fmtid="{D5CDD505-2E9C-101B-9397-08002B2CF9AE}" pid="4" name="KSOTemplateDocerSaveRecord">
    <vt:lpwstr>eyJoZGlkIjoiNDAwNmFlMmRlYWIxMjRlYmE4OTEyNDkwYzllZGE5MjQiLCJ1c2VySWQiOiIyMjc4MjExMDMifQ==</vt:lpwstr>
  </property>
</Properties>
</file>