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E0BAC">
      <w:pPr>
        <w:spacing w:line="360" w:lineRule="auto"/>
        <w:jc w:val="center"/>
        <w:rPr>
          <w:rFonts w:hint="eastAsia" w:ascii="宋体" w:hAnsi="宋体" w:eastAsia="宋体" w:cs="宋体"/>
          <w:b/>
          <w:sz w:val="36"/>
          <w:szCs w:val="36"/>
        </w:rPr>
      </w:pPr>
      <w:r>
        <w:rPr>
          <w:rFonts w:hint="eastAsia" w:ascii="宋体" w:hAnsi="宋体" w:cs="宋体"/>
          <w:b/>
          <w:sz w:val="36"/>
          <w:szCs w:val="36"/>
          <w:lang w:val="en-US" w:eastAsia="zh-CN"/>
        </w:rPr>
        <w:t>物流数字孪生设计实训平台建设采购项目</w:t>
      </w:r>
      <w:r>
        <w:rPr>
          <w:rFonts w:hint="eastAsia" w:ascii="宋体" w:hAnsi="宋体" w:eastAsia="宋体" w:cs="宋体"/>
          <w:b/>
          <w:sz w:val="36"/>
          <w:szCs w:val="36"/>
        </w:rPr>
        <w:t>报价函</w:t>
      </w:r>
    </w:p>
    <w:p w14:paraId="76073621">
      <w:pPr>
        <w:pStyle w:val="7"/>
        <w:rPr>
          <w:rFonts w:hint="eastAsia" w:ascii="宋体" w:hAnsi="宋体" w:eastAsia="宋体" w:cs="宋体"/>
        </w:rPr>
      </w:pPr>
    </w:p>
    <w:p w14:paraId="192672B1">
      <w:pPr>
        <w:spacing w:line="221" w:lineRule="exact"/>
        <w:rPr>
          <w:rFonts w:hint="eastAsia" w:ascii="宋体" w:hAnsi="宋体" w:eastAsia="宋体" w:cs="宋体"/>
        </w:rPr>
      </w:pPr>
    </w:p>
    <w:tbl>
      <w:tblPr>
        <w:tblStyle w:val="8"/>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
        <w:gridCol w:w="2459"/>
        <w:gridCol w:w="1616"/>
        <w:gridCol w:w="1701"/>
        <w:gridCol w:w="1730"/>
        <w:gridCol w:w="1295"/>
      </w:tblGrid>
      <w:tr w14:paraId="7064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649" w:type="dxa"/>
            <w:vAlign w:val="center"/>
          </w:tcPr>
          <w:p w14:paraId="02D12742">
            <w:pPr>
              <w:jc w:val="center"/>
              <w:rPr>
                <w:rStyle w:val="15"/>
                <w:rFonts w:hint="eastAsia" w:ascii="宋体" w:hAnsi="宋体" w:eastAsia="宋体" w:cs="宋体"/>
                <w:b/>
              </w:rPr>
            </w:pPr>
            <w:r>
              <w:rPr>
                <w:rStyle w:val="15"/>
                <w:rFonts w:hint="eastAsia" w:ascii="宋体" w:hAnsi="宋体" w:eastAsia="宋体" w:cs="宋体"/>
                <w:b/>
              </w:rPr>
              <w:t>序号</w:t>
            </w:r>
          </w:p>
        </w:tc>
        <w:tc>
          <w:tcPr>
            <w:tcW w:w="2459" w:type="dxa"/>
            <w:vAlign w:val="center"/>
          </w:tcPr>
          <w:p w14:paraId="4CC02A84">
            <w:pPr>
              <w:jc w:val="center"/>
              <w:rPr>
                <w:rStyle w:val="15"/>
                <w:rFonts w:hint="eastAsia" w:ascii="宋体" w:hAnsi="宋体" w:eastAsia="宋体" w:cs="宋体"/>
                <w:b/>
              </w:rPr>
            </w:pPr>
            <w:r>
              <w:rPr>
                <w:rStyle w:val="15"/>
                <w:rFonts w:hint="eastAsia" w:ascii="宋体" w:hAnsi="宋体" w:eastAsia="宋体" w:cs="宋体"/>
                <w:b/>
              </w:rPr>
              <w:t>名称</w:t>
            </w:r>
          </w:p>
        </w:tc>
        <w:tc>
          <w:tcPr>
            <w:tcW w:w="1616" w:type="dxa"/>
            <w:vAlign w:val="center"/>
          </w:tcPr>
          <w:p w14:paraId="54D7650C">
            <w:pPr>
              <w:jc w:val="center"/>
              <w:rPr>
                <w:rStyle w:val="15"/>
                <w:rFonts w:hint="eastAsia" w:ascii="宋体" w:hAnsi="宋体" w:eastAsia="宋体" w:cs="宋体"/>
                <w:b/>
              </w:rPr>
            </w:pPr>
            <w:r>
              <w:rPr>
                <w:rStyle w:val="15"/>
                <w:rFonts w:hint="eastAsia" w:ascii="宋体" w:hAnsi="宋体" w:eastAsia="宋体" w:cs="宋体"/>
                <w:b/>
              </w:rPr>
              <w:t>采购内容</w:t>
            </w:r>
          </w:p>
        </w:tc>
        <w:tc>
          <w:tcPr>
            <w:tcW w:w="1701" w:type="dxa"/>
            <w:vAlign w:val="center"/>
          </w:tcPr>
          <w:p w14:paraId="790692FD">
            <w:pPr>
              <w:jc w:val="center"/>
              <w:rPr>
                <w:rStyle w:val="15"/>
                <w:rFonts w:hint="eastAsia" w:ascii="宋体" w:hAnsi="宋体" w:eastAsia="宋体" w:cs="宋体"/>
                <w:b/>
              </w:rPr>
            </w:pPr>
            <w:r>
              <w:rPr>
                <w:rStyle w:val="15"/>
                <w:rFonts w:hint="eastAsia" w:ascii="宋体" w:hAnsi="宋体" w:eastAsia="宋体" w:cs="宋体"/>
                <w:b/>
              </w:rPr>
              <w:t>具体参数</w:t>
            </w:r>
          </w:p>
        </w:tc>
        <w:tc>
          <w:tcPr>
            <w:tcW w:w="1730" w:type="dxa"/>
            <w:vAlign w:val="center"/>
          </w:tcPr>
          <w:p w14:paraId="20BE2086">
            <w:pPr>
              <w:jc w:val="center"/>
              <w:rPr>
                <w:rStyle w:val="15"/>
                <w:rFonts w:hint="default" w:ascii="宋体" w:hAnsi="宋体" w:eastAsia="宋体" w:cs="宋体"/>
                <w:b/>
                <w:lang w:val="en-US" w:eastAsia="zh-CN"/>
              </w:rPr>
            </w:pPr>
            <w:r>
              <w:rPr>
                <w:rStyle w:val="15"/>
                <w:rFonts w:hint="eastAsia" w:ascii="宋体" w:hAnsi="宋体" w:cs="宋体"/>
                <w:b/>
                <w:lang w:val="en-US" w:eastAsia="zh-CN"/>
              </w:rPr>
              <w:t>报价要求（元）</w:t>
            </w:r>
          </w:p>
        </w:tc>
        <w:tc>
          <w:tcPr>
            <w:tcW w:w="1295" w:type="dxa"/>
            <w:vAlign w:val="center"/>
          </w:tcPr>
          <w:p w14:paraId="4CFB0897">
            <w:pPr>
              <w:jc w:val="center"/>
              <w:rPr>
                <w:rStyle w:val="15"/>
                <w:rFonts w:hint="eastAsia" w:ascii="宋体" w:hAnsi="宋体" w:eastAsia="宋体" w:cs="宋体"/>
                <w:b/>
                <w:lang w:eastAsia="zh-CN"/>
              </w:rPr>
            </w:pPr>
            <w:r>
              <w:rPr>
                <w:rStyle w:val="15"/>
                <w:rFonts w:hint="eastAsia" w:ascii="宋体" w:hAnsi="宋体" w:eastAsia="宋体" w:cs="宋体"/>
                <w:b/>
                <w:lang w:eastAsia="zh-CN"/>
              </w:rPr>
              <w:t>备注</w:t>
            </w:r>
          </w:p>
        </w:tc>
      </w:tr>
      <w:tr w14:paraId="695B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jc w:val="center"/>
        </w:trPr>
        <w:tc>
          <w:tcPr>
            <w:tcW w:w="649" w:type="dxa"/>
            <w:vAlign w:val="center"/>
          </w:tcPr>
          <w:p w14:paraId="6DC3C2D0">
            <w:pPr>
              <w:spacing w:line="360" w:lineRule="auto"/>
              <w:jc w:val="center"/>
              <w:rPr>
                <w:rStyle w:val="15"/>
                <w:rFonts w:hint="eastAsia" w:ascii="宋体" w:hAnsi="宋体" w:eastAsia="宋体" w:cs="宋体"/>
              </w:rPr>
            </w:pPr>
            <w:r>
              <w:rPr>
                <w:rStyle w:val="15"/>
                <w:rFonts w:hint="eastAsia" w:ascii="宋体" w:hAnsi="宋体" w:eastAsia="宋体" w:cs="宋体"/>
              </w:rPr>
              <w:t>1</w:t>
            </w:r>
          </w:p>
        </w:tc>
        <w:tc>
          <w:tcPr>
            <w:tcW w:w="2459" w:type="dxa"/>
            <w:vAlign w:val="center"/>
          </w:tcPr>
          <w:p w14:paraId="1548C415">
            <w:pPr>
              <w:spacing w:line="360" w:lineRule="auto"/>
              <w:jc w:val="center"/>
              <w:rPr>
                <w:rStyle w:val="15"/>
                <w:rFonts w:hint="eastAsia" w:ascii="宋体" w:hAnsi="宋体" w:eastAsia="宋体" w:cs="宋体"/>
                <w:lang w:eastAsia="zh-CN"/>
              </w:rPr>
            </w:pPr>
            <w:r>
              <w:rPr>
                <w:rStyle w:val="15"/>
                <w:rFonts w:hint="eastAsia" w:ascii="宋体" w:hAnsi="宋体" w:cs="宋体"/>
                <w:lang w:eastAsia="zh-CN"/>
              </w:rPr>
              <w:t>物流数字孪生设计实训平台建设采购项目</w:t>
            </w:r>
          </w:p>
        </w:tc>
        <w:tc>
          <w:tcPr>
            <w:tcW w:w="1616" w:type="dxa"/>
            <w:vAlign w:val="center"/>
          </w:tcPr>
          <w:p w14:paraId="48AC3458">
            <w:pPr>
              <w:spacing w:line="360" w:lineRule="auto"/>
              <w:jc w:val="center"/>
              <w:rPr>
                <w:rStyle w:val="15"/>
                <w:rFonts w:hint="default" w:ascii="宋体" w:hAnsi="宋体" w:eastAsia="宋体" w:cs="宋体"/>
                <w:lang w:val="en-US"/>
              </w:rPr>
            </w:pPr>
            <w:r>
              <w:rPr>
                <w:rStyle w:val="15"/>
                <w:rFonts w:hint="eastAsia" w:ascii="宋体" w:hAnsi="宋体" w:eastAsia="宋体" w:cs="宋体"/>
              </w:rPr>
              <w:t>详见</w:t>
            </w:r>
            <w:r>
              <w:rPr>
                <w:rStyle w:val="15"/>
                <w:rFonts w:hint="eastAsia" w:ascii="宋体" w:hAnsi="宋体" w:eastAsia="宋体" w:cs="宋体"/>
                <w:lang w:eastAsia="zh-CN"/>
              </w:rPr>
              <w:t>附件</w:t>
            </w:r>
            <w:r>
              <w:rPr>
                <w:rStyle w:val="15"/>
                <w:rFonts w:hint="eastAsia" w:ascii="宋体" w:hAnsi="宋体" w:cs="宋体"/>
                <w:lang w:val="en-US" w:eastAsia="zh-CN"/>
              </w:rPr>
              <w:t>2</w:t>
            </w:r>
          </w:p>
        </w:tc>
        <w:tc>
          <w:tcPr>
            <w:tcW w:w="1701" w:type="dxa"/>
            <w:vAlign w:val="center"/>
          </w:tcPr>
          <w:p w14:paraId="5B78C79B">
            <w:pPr>
              <w:spacing w:line="360" w:lineRule="auto"/>
              <w:jc w:val="center"/>
              <w:rPr>
                <w:rStyle w:val="15"/>
                <w:rFonts w:hint="eastAsia" w:ascii="宋体" w:hAnsi="宋体" w:eastAsia="宋体" w:cs="宋体"/>
                <w:lang w:val="en-US" w:eastAsia="zh-CN"/>
              </w:rPr>
            </w:pPr>
            <w:r>
              <w:rPr>
                <w:rStyle w:val="15"/>
                <w:rFonts w:hint="eastAsia" w:ascii="宋体" w:hAnsi="宋体" w:eastAsia="宋体" w:cs="宋体"/>
              </w:rPr>
              <w:t>详见</w:t>
            </w:r>
            <w:r>
              <w:rPr>
                <w:rStyle w:val="15"/>
                <w:rFonts w:hint="eastAsia" w:ascii="宋体" w:hAnsi="宋体" w:eastAsia="宋体" w:cs="宋体"/>
                <w:lang w:eastAsia="zh-CN"/>
              </w:rPr>
              <w:t>附件</w:t>
            </w:r>
            <w:r>
              <w:rPr>
                <w:rStyle w:val="15"/>
                <w:rFonts w:hint="eastAsia" w:ascii="宋体" w:hAnsi="宋体" w:cs="宋体"/>
                <w:lang w:val="en-US" w:eastAsia="zh-CN"/>
              </w:rPr>
              <w:t>2</w:t>
            </w:r>
          </w:p>
        </w:tc>
        <w:tc>
          <w:tcPr>
            <w:tcW w:w="1730" w:type="dxa"/>
          </w:tcPr>
          <w:p w14:paraId="2B817248">
            <w:pPr>
              <w:spacing w:line="360" w:lineRule="auto"/>
              <w:jc w:val="center"/>
              <w:rPr>
                <w:rStyle w:val="15"/>
                <w:rFonts w:hint="eastAsia" w:ascii="宋体" w:hAnsi="宋体" w:eastAsia="宋体" w:cs="宋体"/>
              </w:rPr>
            </w:pPr>
          </w:p>
        </w:tc>
        <w:tc>
          <w:tcPr>
            <w:tcW w:w="1295" w:type="dxa"/>
          </w:tcPr>
          <w:p w14:paraId="23CBEC92">
            <w:pPr>
              <w:rPr>
                <w:rStyle w:val="15"/>
                <w:rFonts w:hint="default" w:ascii="宋体" w:hAnsi="宋体" w:eastAsia="宋体" w:cs="宋体"/>
                <w:lang w:val="en-US" w:eastAsia="zh-CN"/>
              </w:rPr>
            </w:pPr>
            <w:r>
              <w:rPr>
                <w:rStyle w:val="15"/>
                <w:rFonts w:hint="eastAsia" w:ascii="宋体" w:hAnsi="宋体" w:cs="宋体"/>
                <w:lang w:val="en-US" w:eastAsia="zh-CN"/>
              </w:rPr>
              <w:t>需要对具体参数做分项报价</w:t>
            </w:r>
          </w:p>
        </w:tc>
      </w:tr>
    </w:tbl>
    <w:p w14:paraId="49527AEB">
      <w:pPr>
        <w:spacing w:line="221" w:lineRule="exact"/>
        <w:jc w:val="center"/>
        <w:rPr>
          <w:rFonts w:hint="eastAsia" w:ascii="宋体" w:hAnsi="宋体" w:cs="宋体"/>
          <w:b/>
          <w:bCs/>
          <w:sz w:val="22"/>
          <w:szCs w:val="28"/>
          <w:lang w:val="en-US" w:eastAsia="zh-CN"/>
        </w:rPr>
      </w:pPr>
    </w:p>
    <w:p w14:paraId="0BE31194">
      <w:pPr>
        <w:spacing w:line="221" w:lineRule="exact"/>
        <w:rPr>
          <w:rFonts w:hint="eastAsia" w:ascii="宋体" w:hAnsi="宋体" w:eastAsia="宋体" w:cs="宋体"/>
        </w:rPr>
      </w:pPr>
    </w:p>
    <w:p w14:paraId="4FA5D912">
      <w:pPr>
        <w:wordWrap w:val="0"/>
        <w:spacing w:line="500" w:lineRule="exact"/>
        <w:ind w:left="504" w:leftChars="240"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rPr>
        <w:t xml:space="preserve">        报价单位（盖章）：</w:t>
      </w:r>
      <w:r>
        <w:rPr>
          <w:rFonts w:hint="eastAsia" w:ascii="宋体" w:hAnsi="宋体" w:eastAsia="宋体" w:cs="宋体"/>
          <w:sz w:val="24"/>
          <w:szCs w:val="24"/>
          <w:lang w:val="en-US" w:eastAsia="zh-CN"/>
        </w:rPr>
        <w:t xml:space="preserve">                   </w:t>
      </w:r>
    </w:p>
    <w:p w14:paraId="5ED089C6">
      <w:pPr>
        <w:wordWrap w:val="0"/>
        <w:spacing w:line="500" w:lineRule="exact"/>
        <w:ind w:left="504" w:leftChars="240"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rPr>
        <w:t>联系人：</w:t>
      </w:r>
      <w:r>
        <w:rPr>
          <w:rFonts w:hint="eastAsia" w:ascii="宋体" w:hAnsi="宋体" w:eastAsia="宋体" w:cs="宋体"/>
          <w:sz w:val="24"/>
          <w:szCs w:val="24"/>
          <w:lang w:val="en-US" w:eastAsia="zh-CN"/>
        </w:rPr>
        <w:t xml:space="preserve">          </w:t>
      </w:r>
    </w:p>
    <w:p w14:paraId="2A0DB586">
      <w:pPr>
        <w:wordWrap w:val="0"/>
        <w:spacing w:line="500" w:lineRule="exact"/>
        <w:ind w:left="504" w:leftChars="240"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rPr>
        <w:t>联系方式：</w:t>
      </w:r>
      <w:r>
        <w:rPr>
          <w:rFonts w:hint="eastAsia" w:ascii="宋体" w:hAnsi="宋体" w:eastAsia="宋体" w:cs="宋体"/>
          <w:sz w:val="24"/>
          <w:szCs w:val="24"/>
          <w:lang w:val="en-US" w:eastAsia="zh-CN"/>
        </w:rPr>
        <w:t xml:space="preserve">          </w:t>
      </w:r>
    </w:p>
    <w:p w14:paraId="21DBBAEF">
      <w:pPr>
        <w:spacing w:line="500" w:lineRule="exact"/>
        <w:ind w:left="504" w:leftChars="240" w:firstLine="480" w:firstLineChars="200"/>
        <w:jc w:val="right"/>
        <w:rPr>
          <w:rFonts w:hint="eastAsia" w:ascii="宋体" w:hAnsi="宋体" w:eastAsia="宋体" w:cs="宋体"/>
          <w:sz w:val="24"/>
          <w:szCs w:val="24"/>
        </w:rPr>
      </w:pPr>
      <w:r>
        <w:rPr>
          <w:rFonts w:hint="eastAsia" w:ascii="宋体" w:hAnsi="宋体" w:eastAsia="宋体" w:cs="宋体"/>
          <w:sz w:val="24"/>
          <w:szCs w:val="24"/>
        </w:rPr>
        <w:br w:type="page"/>
      </w:r>
    </w:p>
    <w:p w14:paraId="391478F3">
      <w:pPr>
        <w:pStyle w:val="7"/>
        <w:ind w:left="0" w:leftChars="0" w:firstLine="0" w:firstLineChars="0"/>
        <w:rPr>
          <w:rStyle w:val="15"/>
          <w:rFonts w:hint="eastAsia" w:ascii="宋体" w:hAnsi="宋体" w:eastAsia="宋体" w:cs="宋体"/>
          <w:lang w:val="en-US" w:eastAsia="zh-CN"/>
        </w:rPr>
      </w:pPr>
      <w:r>
        <w:rPr>
          <w:rStyle w:val="15"/>
          <w:rFonts w:hint="eastAsia" w:ascii="宋体" w:hAnsi="宋体" w:eastAsia="宋体" w:cs="宋体"/>
          <w:lang w:eastAsia="zh-CN"/>
        </w:rPr>
        <w:t>附件</w:t>
      </w:r>
      <w:r>
        <w:rPr>
          <w:rStyle w:val="15"/>
          <w:rFonts w:hint="eastAsia" w:ascii="宋体" w:hAnsi="宋体" w:eastAsia="宋体" w:cs="宋体"/>
          <w:lang w:val="en-US" w:eastAsia="zh-CN"/>
        </w:rPr>
        <w:t>1：营业执照</w:t>
      </w:r>
    </w:p>
    <w:p w14:paraId="304DE082">
      <w:pPr>
        <w:rPr>
          <w:rStyle w:val="15"/>
          <w:rFonts w:hint="eastAsia" w:ascii="宋体" w:hAnsi="宋体" w:eastAsia="宋体" w:cs="宋体"/>
          <w:lang w:val="en-US" w:eastAsia="zh-CN"/>
        </w:rPr>
      </w:pPr>
    </w:p>
    <w:p w14:paraId="35D7A0D1">
      <w:pPr>
        <w:rPr>
          <w:rStyle w:val="15"/>
          <w:rFonts w:hint="eastAsia" w:ascii="宋体" w:hAnsi="宋体" w:eastAsia="宋体" w:cs="宋体"/>
          <w:lang w:val="en-US" w:eastAsia="zh-CN"/>
        </w:rPr>
      </w:pPr>
      <w:r>
        <w:rPr>
          <w:rStyle w:val="15"/>
          <w:rFonts w:hint="eastAsia" w:ascii="宋体" w:hAnsi="宋体" w:eastAsia="宋体" w:cs="宋体"/>
          <w:lang w:val="en-US" w:eastAsia="zh-CN"/>
        </w:rPr>
        <w:br w:type="page"/>
      </w:r>
    </w:p>
    <w:p w14:paraId="51F5D4D5">
      <w:pPr>
        <w:rPr>
          <w:rStyle w:val="15"/>
          <w:rFonts w:hint="eastAsia" w:ascii="宋体" w:hAnsi="宋体" w:cs="宋体"/>
          <w:lang w:val="en-US" w:eastAsia="zh-CN"/>
        </w:rPr>
      </w:pPr>
      <w:r>
        <w:rPr>
          <w:rStyle w:val="15"/>
          <w:rFonts w:hint="eastAsia" w:ascii="宋体" w:hAnsi="宋体" w:eastAsia="宋体" w:cs="宋体"/>
          <w:lang w:eastAsia="zh-CN"/>
        </w:rPr>
        <w:t>附件</w:t>
      </w:r>
      <w:r>
        <w:rPr>
          <w:rStyle w:val="15"/>
          <w:rFonts w:hint="eastAsia" w:ascii="宋体" w:hAnsi="宋体" w:cs="宋体"/>
          <w:lang w:val="en-US" w:eastAsia="zh-CN"/>
        </w:rPr>
        <w:t>2:具体参数</w:t>
      </w:r>
    </w:p>
    <w:tbl>
      <w:tblPr>
        <w:tblStyle w:val="8"/>
        <w:tblW w:w="9422"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15"/>
        <w:gridCol w:w="8707"/>
      </w:tblGrid>
      <w:tr w14:paraId="6869E3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4" w:hRule="atLeast"/>
          <w:jc w:val="center"/>
        </w:trPr>
        <w:tc>
          <w:tcPr>
            <w:tcW w:w="715" w:type="dxa"/>
            <w:vAlign w:val="center"/>
          </w:tcPr>
          <w:p w14:paraId="5DEB3E0C">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8707" w:type="dxa"/>
            <w:vAlign w:val="center"/>
          </w:tcPr>
          <w:p w14:paraId="33A9A7C5">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具体技术（参数）要求</w:t>
            </w:r>
          </w:p>
        </w:tc>
      </w:tr>
      <w:tr w14:paraId="33586F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79" w:hRule="atLeast"/>
          <w:jc w:val="center"/>
        </w:trPr>
        <w:tc>
          <w:tcPr>
            <w:tcW w:w="715" w:type="dxa"/>
            <w:vAlign w:val="center"/>
          </w:tcPr>
          <w:p w14:paraId="171BE53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8707" w:type="dxa"/>
            <w:vAlign w:val="center"/>
          </w:tcPr>
          <w:p w14:paraId="28B841F5">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在智慧物流高速迭代、行业全面数字化、智能化转型升级的行业背景下，传统物流实训存在设备成本高、场景单一、实操风险大、方案验证难、设备损耗严重、真实场景无法复刻教学实训场景等诸多痛点，高校物流专业实训教学、企业物流岗位技能培训及物流方案设计验证亟需高精度、全流程、可迭代的数字化实训载体。物流数字孪生设计实训平台依托三维数字孪生建模技术、真实物理引擎仿真、无代码逻辑编排、XR沉浸式交互核心技术，深度复刻工业级真实物流场景与作业流程，构建“场景建模-装备仿真-流程设计-方案验证-数据分析-优化迭代”全闭环实训体系。平台精准对标现代智能仓储、智慧园区、城市物流枢纽的规划设计、运营管理、设备运维、流程优化等核心岗位能力需求，可全面满足职业院校、应用型本科院校物流管理、物流工程、供应链管理等专业的日常教学、课程实训、综合实训、技能竞赛、毕业设计，同时支持企业物流方案预演、运营优化仿真与员工技能提升培训，高效培育适配行业数字化转型的复合型、实操型物流专业人才。</w:t>
            </w:r>
          </w:p>
          <w:p w14:paraId="612F3C45">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1）物流装备设计与仿真：学生可通过系统内置的丰富物流设备模型，进行装备选型、布局设计和运行仿真，掌握物流装备的功能特性与应用场景。系统模型库覆盖仓储、搬运、输送、分拣、感知全品类设备，支持学生自主完成装备选型、参数自定义配置、空间布局调试、多设备联动逻辑设计、运行状态仿真观测。学生可直观的观测不同规格、不同参数设备的运行差异，精准掌握各类物流装备的核心功能、适用场景、作业优势及局限性。</w:t>
            </w:r>
          </w:p>
          <w:p w14:paraId="7808AEEC">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2）仓储布局规划：支持从零开始构建仓储场景，包括仓库建筑、货架布局、设备部署等，帮助学生理解仓储空间优化与资源调配的基本原则。学生可独立完成货架排布、输送线铺设、AGV设备规划、分拣设备部署、消防及安防设施布局、仓储作业动线设计等核心操作，帮助学生建立仓储空间优化、资源合理调配、动线高效适配、安全合规布局的专业思维，熟练掌握现代仓储规划设计的标准化流程与优化技巧，适配物流园区规划、仓储设计、场地优化等岗位核心技能要求。</w:t>
            </w:r>
          </w:p>
          <w:p w14:paraId="143863D1">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3）仓储业务流程设计：通过可视化业务流程编辑器，学生可设计并模拟仓储作业流程，如货物入库、存储、拣选、出库等，提升对物流业务逻辑的理解。系统可实时模拟物流作业场景中的岗位操作、设备运转、货物流转流等业务，精准还原人工作业、自动化设备协同作业的真实工况。通过沉浸式流程设计与仿真推演，帮助学生深度理解仓储业务底层逻辑、标准化作业规范、流程协同机制与异常处理方案，提升学生的物流业务设计、流程优化、问题排查的实操能力。</w:t>
            </w:r>
          </w:p>
          <w:p w14:paraId="01243444">
            <w:pPr>
              <w:spacing w:line="360" w:lineRule="auto"/>
              <w:ind w:firstLine="482" w:firstLineChars="200"/>
              <w:rPr>
                <w:rFonts w:hint="eastAsia" w:ascii="宋体" w:hAnsi="宋体" w:eastAsia="宋体" w:cs="宋体"/>
                <w:b/>
                <w:sz w:val="24"/>
                <w:szCs w:val="24"/>
              </w:rPr>
            </w:pPr>
          </w:p>
        </w:tc>
      </w:tr>
      <w:tr w14:paraId="75524B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34" w:hRule="atLeast"/>
          <w:jc w:val="center"/>
        </w:trPr>
        <w:tc>
          <w:tcPr>
            <w:tcW w:w="715" w:type="dxa"/>
            <w:vAlign w:val="center"/>
          </w:tcPr>
          <w:p w14:paraId="5DC3A515">
            <w:pPr>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8707" w:type="dxa"/>
            <w:vAlign w:val="center"/>
          </w:tcPr>
          <w:p w14:paraId="5E22056D">
            <w:pPr>
              <w:pStyle w:val="7"/>
              <w:ind w:left="0" w:leftChars="0" w:firstLine="0" w:firstLineChars="0"/>
              <w:rPr>
                <w:rFonts w:hint="eastAsia" w:ascii="宋体" w:hAnsi="宋体" w:eastAsia="宋体" w:cs="宋体"/>
                <w:sz w:val="24"/>
                <w:szCs w:val="24"/>
              </w:rPr>
            </w:pPr>
          </w:p>
          <w:tbl>
            <w:tblPr>
              <w:tblStyle w:val="8"/>
              <w:tblW w:w="86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0"/>
              <w:gridCol w:w="859"/>
              <w:gridCol w:w="5158"/>
              <w:gridCol w:w="808"/>
            </w:tblGrid>
            <w:tr w14:paraId="20D7D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810" w:type="dxa"/>
                  <w:tcBorders>
                    <w:tl2br w:val="nil"/>
                    <w:tr2bl w:val="nil"/>
                  </w:tcBorders>
                  <w:noWrap w:val="0"/>
                  <w:vAlign w:val="center"/>
                </w:tcPr>
                <w:p w14:paraId="0FFE56AE">
                  <w:pPr>
                    <w:keepNext w:val="0"/>
                    <w:keepLines w:val="0"/>
                    <w:widowControl/>
                    <w:suppressLineNumbers w:val="0"/>
                    <w:snapToGrid w:val="0"/>
                    <w:ind w:left="0" w:leftChars="0" w:right="0" w:rightChars="0"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kern w:val="0"/>
                      <w:sz w:val="24"/>
                      <w:szCs w:val="24"/>
                      <w:lang w:val="en-US" w:eastAsia="zh-CN" w:bidi="ar"/>
                    </w:rPr>
                    <w:t>序号</w:t>
                  </w:r>
                </w:p>
              </w:tc>
              <w:tc>
                <w:tcPr>
                  <w:tcW w:w="859" w:type="dxa"/>
                  <w:tcBorders>
                    <w:tl2br w:val="nil"/>
                    <w:tr2bl w:val="nil"/>
                  </w:tcBorders>
                  <w:noWrap w:val="0"/>
                  <w:vAlign w:val="center"/>
                </w:tcPr>
                <w:p w14:paraId="25894D3B">
                  <w:pPr>
                    <w:keepNext w:val="0"/>
                    <w:keepLines w:val="0"/>
                    <w:widowControl/>
                    <w:suppressLineNumbers w:val="0"/>
                    <w:snapToGrid w:val="0"/>
                    <w:ind w:left="0" w:leftChars="0" w:right="0" w:rightChars="0"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kern w:val="0"/>
                      <w:sz w:val="24"/>
                      <w:szCs w:val="24"/>
                      <w:lang w:val="en-US" w:eastAsia="zh-CN" w:bidi="ar"/>
                    </w:rPr>
                    <w:t>组件名称</w:t>
                  </w:r>
                </w:p>
              </w:tc>
              <w:tc>
                <w:tcPr>
                  <w:tcW w:w="5158" w:type="dxa"/>
                  <w:tcBorders>
                    <w:tl2br w:val="nil"/>
                    <w:tr2bl w:val="nil"/>
                  </w:tcBorders>
                  <w:noWrap w:val="0"/>
                  <w:vAlign w:val="center"/>
                </w:tcPr>
                <w:p w14:paraId="3EB3A42C">
                  <w:pPr>
                    <w:keepNext w:val="0"/>
                    <w:keepLines w:val="0"/>
                    <w:widowControl/>
                    <w:suppressLineNumbers w:val="0"/>
                    <w:snapToGrid w:val="0"/>
                    <w:ind w:left="0" w:leftChars="0" w:right="0" w:rightChars="0"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kern w:val="0"/>
                      <w:sz w:val="24"/>
                      <w:szCs w:val="24"/>
                      <w:lang w:val="en-US" w:eastAsia="zh-CN" w:bidi="ar"/>
                    </w:rPr>
                    <w:t>技术参数</w:t>
                  </w:r>
                </w:p>
              </w:tc>
              <w:tc>
                <w:tcPr>
                  <w:tcW w:w="808" w:type="dxa"/>
                  <w:tcBorders>
                    <w:tl2br w:val="nil"/>
                    <w:tr2bl w:val="nil"/>
                  </w:tcBorders>
                  <w:noWrap w:val="0"/>
                  <w:vAlign w:val="center"/>
                </w:tcPr>
                <w:p w14:paraId="131B4232">
                  <w:pPr>
                    <w:keepNext w:val="0"/>
                    <w:keepLines w:val="0"/>
                    <w:widowControl/>
                    <w:suppressLineNumbers w:val="0"/>
                    <w:snapToGrid w:val="0"/>
                    <w:ind w:left="0" w:leftChars="0" w:right="0" w:rightChars="0"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kern w:val="0"/>
                      <w:sz w:val="24"/>
                      <w:szCs w:val="24"/>
                      <w:lang w:val="en-US" w:eastAsia="zh-CN" w:bidi="ar"/>
                    </w:rPr>
                    <w:t>数量</w:t>
                  </w:r>
                </w:p>
              </w:tc>
            </w:tr>
            <w:tr w14:paraId="3835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810" w:type="dxa"/>
                  <w:tcBorders>
                    <w:tl2br w:val="nil"/>
                    <w:tr2bl w:val="nil"/>
                  </w:tcBorders>
                  <w:noWrap w:val="0"/>
                  <w:vAlign w:val="center"/>
                </w:tcPr>
                <w:p w14:paraId="3F138CBD">
                  <w:pPr>
                    <w:keepNext w:val="0"/>
                    <w:keepLines w:val="0"/>
                    <w:widowControl/>
                    <w:suppressLineNumbers w:val="0"/>
                    <w:snapToGrid w:val="0"/>
                    <w:ind w:left="0" w:leftChars="0" w:right="0" w:rightChars="0"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kern w:val="0"/>
                      <w:sz w:val="24"/>
                      <w:szCs w:val="24"/>
                      <w:lang w:val="en-US" w:eastAsia="zh-CN" w:bidi="ar"/>
                    </w:rPr>
                    <w:t>1</w:t>
                  </w:r>
                </w:p>
              </w:tc>
              <w:tc>
                <w:tcPr>
                  <w:tcW w:w="859" w:type="dxa"/>
                  <w:tcBorders>
                    <w:tl2br w:val="nil"/>
                    <w:tr2bl w:val="nil"/>
                  </w:tcBorders>
                  <w:noWrap w:val="0"/>
                  <w:vAlign w:val="center"/>
                </w:tcPr>
                <w:p w14:paraId="6E6BE999">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sz w:val="24"/>
                      <w:szCs w:val="24"/>
                    </w:rPr>
                  </w:pPr>
                  <w:r>
                    <w:rPr>
                      <w:rFonts w:hint="eastAsia" w:ascii="宋体" w:hAnsi="宋体" w:eastAsia="宋体" w:cs="宋体"/>
                      <w:b w:val="0"/>
                      <w:bCs w:val="0"/>
                      <w:kern w:val="0"/>
                      <w:sz w:val="24"/>
                      <w:szCs w:val="24"/>
                      <w:lang w:val="en-US" w:eastAsia="zh-CN" w:bidi="ar"/>
                    </w:rPr>
                    <w:t>物流数字孪生设计实训平台主程序</w:t>
                  </w:r>
                </w:p>
              </w:tc>
              <w:tc>
                <w:tcPr>
                  <w:tcW w:w="5158" w:type="dxa"/>
                  <w:tcBorders>
                    <w:tl2br w:val="nil"/>
                    <w:tr2bl w:val="nil"/>
                  </w:tcBorders>
                  <w:noWrap w:val="0"/>
                  <w:vAlign w:val="center"/>
                </w:tcPr>
                <w:p w14:paraId="53865F56">
                  <w:pPr>
                    <w:spacing w:line="360" w:lineRule="auto"/>
                    <w:rPr>
                      <w:rFonts w:hint="eastAsia" w:ascii="宋体" w:hAnsi="宋体" w:eastAsia="宋体" w:cs="宋体"/>
                      <w:b w:val="0"/>
                      <w:sz w:val="24"/>
                      <w:szCs w:val="24"/>
                    </w:rPr>
                  </w:pPr>
                  <w:r>
                    <w:rPr>
                      <w:rFonts w:hint="eastAsia" w:ascii="宋体" w:hAnsi="宋体" w:eastAsia="宋体" w:cs="宋体"/>
                      <w:b w:val="0"/>
                      <w:sz w:val="24"/>
                      <w:szCs w:val="24"/>
                    </w:rPr>
                    <w:t>系统功能</w:t>
                  </w:r>
                </w:p>
                <w:p w14:paraId="5187F661">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平台基于成熟虚拟现实引擎架构开发，采用轻量化、高</w:t>
                  </w:r>
                  <w:bookmarkStart w:id="0" w:name="_GoBack"/>
                  <w:bookmarkEnd w:id="0"/>
                  <w:r>
                    <w:rPr>
                      <w:rFonts w:hint="eastAsia" w:ascii="宋体" w:hAnsi="宋体" w:eastAsia="宋体" w:cs="宋体"/>
                      <w:b w:val="0"/>
                      <w:sz w:val="24"/>
                      <w:szCs w:val="24"/>
                    </w:rPr>
                    <w:t>兼容、高稳定的技术架构，兼顾教学实训的易用性与工业仿真的专业性，所有功能均对标工业级物流仿真系统标准设计，适配院校教学、技能竞赛、企业方案验证多重场景，具体核心功能参数如下：</w:t>
                  </w:r>
                </w:p>
                <w:p w14:paraId="78B394DA">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1）系统采用虚拟现实引擎开发，整体架构轻量化、稳定性强，支持C/S客户端模式部署，适配校园机房、实训中心集中部署使用，独立操作、互不干扰。</w:t>
                  </w:r>
                </w:p>
                <w:p w14:paraId="6AD4822D">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2）系统内置内置园区级、城市级、仓储级三维建模环境，打破单一仓储场景限制，支持单一仓储场景、多仓联动场景、物流园区整体场景、城市物流枢纽网络场景的搭建与建模。可自主完成仓储建筑结构、园区路网、物流节点、中转枢纽、配套设施的设计，覆盖微观仓储、中观园区、宏观城市物流全层级实训场景。</w:t>
                  </w:r>
                </w:p>
                <w:p w14:paraId="72179CDD">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3）系统内置丰富的仓储基建模型与公共设施模型，涵盖仓库墙体、地面、门窗、升降平台、通道护栏等基建模型，同时集成消防栓、消防通道、烟感报警器、温湿度传感器、安防监控、通风系统等公共配套设施模型。模型支持自由拖拽、缩放、旋转、拼接、组合，学生可根据实际需求快速完成仓储场景搭建与优化；</w:t>
                  </w:r>
                </w:p>
                <w:p w14:paraId="6DF743BB">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4）系统搭载专业化物流设备模型资源库，累计包含200+高精度工业级设备模型，品类齐全、规格丰富。其中包含8种以上差异化规格的重型货架、轻型货架、横梁式货架、重力式货架、阁楼货架、流利式货架、托盘货架、立体货架等货架模型；完整覆盖AS/RS自动化立体仓库系统、AGV搬运机器人、辊筒输送线、皮带输送线、分拣机、提升机、堆垛机、扫码设备、打包设备等全系列自动化物流装备；</w:t>
                  </w:r>
                </w:p>
                <w:p w14:paraId="4C735EC7">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5）系统支持自动化仓储系统的规划与仿真，针对性适配现代主流智能仓储系统，支持AS/RS立体仓储系统、AGV货到人拣选系统、多层穿梭车密集仓储系统、自动化输送系统、自动化分拣系统等多种高端自动化仓储体系的规划搭建与全流程仿真。可完整模拟自动化仓储的入库上架、自动存储、智能拣选等核心作业逻辑，让使用者系统掌握自动化仓储的布局规范、设备协同原理、智能运营逻辑与优化方法，贴合现代智能物流仓配主流应用场景；</w:t>
                  </w:r>
                </w:p>
                <w:p w14:paraId="174C2359">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6）支持无代码逻辑编排系统，支持可视化流程设计，可灵活配置系统级、装备级业务逻辑，满足业务流、设备工作流的可视化逻辑设计需求，无需编程基础，即可完成全层级业务逻辑与设备工作流的可视化编排。支持单设备级独立作业逻辑、多设备联动协同逻辑等业务配置，支持逻辑复用、修改，全方位满足物流业务流、设备工作流、协同作业流的设计、调试与验证实训需求，降低实训门槛，提升实操效率；</w:t>
                  </w:r>
                </w:p>
                <w:p w14:paraId="251F3C37">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7）系统具备动态物理引擎能力，可支持重力/碰撞/传输等多种物理特性模拟，精准模拟重力作用、物体碰撞、货物输送等效果，可真实还原货物输送、搬运、堆叠、分拣过程中的物理状态，精准模拟货物碰撞、堆叠倾斜等真实工况问题，让仿真效果高度贴合实际场景，保障实训与方案验证的真实性、准确性与专业性；</w:t>
                  </w:r>
                </w:p>
                <w:p w14:paraId="3626AD6F">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8）平台预留标准化XR交互接口，全面兼容主流VR硬件设备，支持沉浸式三维场景交互实训。使用者可通过VR设备进入虚拟仓储场景，以第一视角完成设备操作、流程执行、场景巡检、故障排查等实操训练，摆脱传统平面操作的局限性，打造沉浸式、交互式、实景化的实训体验，大幅提升实训代入感与实操能力，适配高端沉浸式实训教学需求；</w:t>
                  </w:r>
                </w:p>
                <w:p w14:paraId="0E9877BA">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9）系统提供毫米级坐标系统，支持多维度空间变换操作，包括精准定位、多维度空间变换操作，涵盖平移、缩放、旋转、吸附等操作。可实现设备、建筑、货物的精准布局，保障仓储场景布局、设备部署、动线规划的精准度，培养学生精细化、标准化的设计思维；</w:t>
                  </w:r>
                </w:p>
                <w:p w14:paraId="6D231AFF">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10）系统支持设备级参数配置，能够动态配置设备的运行参数，可自定义修改设备核心运行参数，包括输送线运行速度、AGV的行驶速度、旋转速度，堆垛机工作参数，如移动速度，停止准备时间等多项设备运行参数。学生可通过调整参数对比不同工况下的设备运行状态、作业效率，深入掌握设备参数与作业效果的关联逻辑，提升设备调试与工况优化能力；</w:t>
                  </w:r>
                </w:p>
                <w:p w14:paraId="106FD281">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11）系统具备物流智能感知仿真设备，内置RFID读写模拟器、条码/二维码扫码模拟器、激光测距检测模拟器等主流智能感知设备模型。支持虚拟场景下的自动感知、数据识别、信息采集全流程仿真，可模拟货物身份识别、位置检测、状态监测、信息录入等智能感知场景，帮助使用者掌握物流智能感知技术的应用原理与实操方法，贴合智慧物流智能化感知体系的应用场景；</w:t>
                  </w:r>
                </w:p>
                <w:p w14:paraId="09E236F0">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12）系统搭载多元化事件触发系统，支持自定义各类场景触发规则，涵盖设备交互触发、区域感知触发、货物流转触发、时间节点触发、异常状态触发、人工操作触发等多种触发类型。可模拟设备启停、货物出入区域、库存超限、设备故障、作业超时、安全隐患等各类场景事件，同步具备联动声光告警、弹窗提示、流程中断、应急处理等响应机制，完整还原真实物流作业的事件响应与异常处理流程；</w:t>
                  </w:r>
                </w:p>
                <w:p w14:paraId="4B80A65F">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13）系统提供流程蓝图设计器，实现业务逻辑可视化编排以及模板功能，可将场景/业务逻辑保存为标准化模板，支持学生对电商仓、冷链仓、配送中心、智能立体仓等主流场景中的智能装备、作业流程等核心业务保存为模板，支持一键调用，快速复用模板，大幅提升实训设计效率，适配课程教学、方案设计、竞赛备赛多场景使用；</w:t>
                  </w:r>
                </w:p>
                <w:p w14:paraId="5AC3F57E">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14）系统具备完善的项目方案版本管理能力，支持同一实训方案多版本保存、另存、一键读取等功能，方便学生迭代优化设计方案。同时支持设备清单自动统计导出、三维场景快照保存等功能，可完整留存实训成果，满足实训作业提交、方案汇报、成果归档、竞赛复盘的使用需求；</w:t>
                  </w:r>
                </w:p>
                <w:p w14:paraId="1399AB90">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15）系统预设多套标准化物流实训场景模板，涵盖电商智能仓、城市配送中心、冷链仓储、工业原料仓、智能分拣中心、物流中转枢纽等主流物流场景，包含建筑布局、设备部署、业务流程等，支持学生一键导入快速启用，既方便零基础学生快速入门实训，也支持使用者基于模板二次开发、个性化改造，适配分层教学、差异化实训需求；</w:t>
                  </w:r>
                </w:p>
                <w:p w14:paraId="6101D1AC">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16）系统具备仿真加速能力，支持时间加速比≥1:20，支持业务流程倍速验证，可大幅压缩长周期物流作业流程的仿真时间，快速验证全流程作业效果、方案可行性、系统瓶颈，大幅提升实训效率与方案优化迭代速度，适配批量方案对比、长期工况仿真的实训需求；</w:t>
                  </w:r>
                </w:p>
                <w:p w14:paraId="2CBE16E9">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17）系统支持多视角观测体系，如全局视角、设备操作视角、第一人称作业操作者视角、自由漫游等多维度观测模式。使用者可全局观测整体场景运行状态，也可聚焦单台设备、单个作业节点、单条货物流转链路进行细节观测，精准发现布局漏洞、流程缺陷、设备运行问题，全方位保障实训观测与方案分析的完整性与精准度；</w:t>
                  </w:r>
                </w:p>
                <w:p w14:paraId="33E463AD">
                  <w:pPr>
                    <w:spacing w:line="360" w:lineRule="auto"/>
                    <w:ind w:firstLine="480" w:firstLineChars="200"/>
                    <w:rPr>
                      <w:rFonts w:hint="eastAsia" w:ascii="宋体" w:hAnsi="宋体" w:eastAsia="宋体" w:cs="宋体"/>
                      <w:b w:val="0"/>
                      <w:sz w:val="24"/>
                      <w:szCs w:val="24"/>
                    </w:rPr>
                  </w:pPr>
                  <w:r>
                    <w:rPr>
                      <w:rFonts w:hint="eastAsia" w:ascii="宋体" w:hAnsi="宋体" w:eastAsia="宋体" w:cs="宋体"/>
                      <w:b w:val="0"/>
                      <w:sz w:val="24"/>
                      <w:szCs w:val="24"/>
                    </w:rPr>
                    <w:t>18）系统支持OBJ、FBX等主流工业三维模型格式的导入，支持使用者导入自定义特色设备模型、专属场景模型，实现个性化场景搭建、定制化方案设计，满足差异化实训、创新设计、定制化方案验证的高阶需求；</w:t>
                  </w:r>
                </w:p>
                <w:p w14:paraId="03504DC1">
                  <w:pPr>
                    <w:keepNext w:val="0"/>
                    <w:keepLines w:val="0"/>
                    <w:widowControl/>
                    <w:suppressLineNumbers w:val="0"/>
                    <w:snapToGrid w:val="0"/>
                    <w:ind w:left="0" w:leftChars="0" w:right="0" w:rightChars="0" w:firstLine="0" w:firstLineChars="0"/>
                    <w:jc w:val="left"/>
                    <w:rPr>
                      <w:rFonts w:hint="eastAsia" w:ascii="宋体" w:hAnsi="宋体" w:eastAsia="宋体" w:cs="宋体"/>
                      <w:b w:val="0"/>
                      <w:bCs w:val="0"/>
                      <w:sz w:val="24"/>
                      <w:szCs w:val="24"/>
                    </w:rPr>
                  </w:pPr>
                  <w:r>
                    <w:rPr>
                      <w:rFonts w:hint="eastAsia" w:ascii="宋体" w:hAnsi="宋体" w:eastAsia="宋体" w:cs="宋体"/>
                      <w:b w:val="0"/>
                      <w:sz w:val="24"/>
                      <w:szCs w:val="24"/>
                    </w:rPr>
                    <w:t>19）系统支持以太网通讯接口，满足个性化功能扩展，支持数据通讯、个性化功能拓展，打通虚拟仿真与工业实操的壁垒，适配高阶实训、科研创新、项目定制化开发需求。</w:t>
                  </w:r>
                </w:p>
              </w:tc>
              <w:tc>
                <w:tcPr>
                  <w:tcW w:w="808" w:type="dxa"/>
                  <w:tcBorders>
                    <w:tl2br w:val="nil"/>
                    <w:tr2bl w:val="nil"/>
                  </w:tcBorders>
                  <w:noWrap w:val="0"/>
                  <w:vAlign w:val="center"/>
                </w:tcPr>
                <w:p w14:paraId="1C041FD6">
                  <w:pPr>
                    <w:keepNext w:val="0"/>
                    <w:keepLines w:val="0"/>
                    <w:widowControl/>
                    <w:suppressLineNumbers w:val="0"/>
                    <w:snapToGrid w:val="0"/>
                    <w:ind w:left="0" w:leftChars="0" w:right="0" w:rightChars="0"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kern w:val="0"/>
                      <w:sz w:val="24"/>
                      <w:szCs w:val="24"/>
                      <w:lang w:val="en-US" w:eastAsia="zh-CN" w:bidi="ar"/>
                    </w:rPr>
                    <w:t>1套</w:t>
                  </w:r>
                </w:p>
              </w:tc>
            </w:tr>
          </w:tbl>
          <w:p w14:paraId="58E6A8F4">
            <w:pPr>
              <w:pStyle w:val="7"/>
              <w:ind w:left="0" w:leftChars="0" w:firstLine="0" w:firstLineChars="0"/>
              <w:rPr>
                <w:rFonts w:hint="eastAsia" w:ascii="宋体" w:hAnsi="宋体" w:eastAsia="宋体" w:cs="宋体"/>
                <w:sz w:val="24"/>
                <w:szCs w:val="24"/>
              </w:rPr>
            </w:pPr>
          </w:p>
        </w:tc>
      </w:tr>
    </w:tbl>
    <w:p w14:paraId="2019FC60">
      <w:pPr>
        <w:rPr>
          <w:rStyle w:val="15"/>
          <w:rFonts w:hint="default" w:ascii="宋体" w:hAnsi="宋体" w:eastAsia="宋体" w:cs="宋体"/>
          <w:lang w:val="en-US" w:eastAsia="zh-CN"/>
        </w:rPr>
      </w:pPr>
    </w:p>
    <w:p w14:paraId="5CD571C1">
      <w:pPr>
        <w:rPr>
          <w:rStyle w:val="15"/>
          <w:rFonts w:hint="default" w:ascii="宋体" w:hAnsi="宋体" w:eastAsia="宋体" w:cs="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jZmEwOGYwM2FmZjFjMDQyNmQyZmJmZWZmMjcxMDQifQ=="/>
  </w:docVars>
  <w:rsids>
    <w:rsidRoot w:val="00000000"/>
    <w:rsid w:val="00E46AD2"/>
    <w:rsid w:val="014E1599"/>
    <w:rsid w:val="01586CAE"/>
    <w:rsid w:val="04274D7A"/>
    <w:rsid w:val="04F15F4C"/>
    <w:rsid w:val="07DA3B6F"/>
    <w:rsid w:val="09436690"/>
    <w:rsid w:val="099C263F"/>
    <w:rsid w:val="0AA479FE"/>
    <w:rsid w:val="0AB063A2"/>
    <w:rsid w:val="0C8C4E6A"/>
    <w:rsid w:val="0F3E087B"/>
    <w:rsid w:val="0F5E5722"/>
    <w:rsid w:val="12C30051"/>
    <w:rsid w:val="1452128F"/>
    <w:rsid w:val="19C63258"/>
    <w:rsid w:val="1D9C2305"/>
    <w:rsid w:val="1FA4694F"/>
    <w:rsid w:val="25A34875"/>
    <w:rsid w:val="26DC7DF8"/>
    <w:rsid w:val="2826784C"/>
    <w:rsid w:val="2C3A54B1"/>
    <w:rsid w:val="2E7C1F21"/>
    <w:rsid w:val="3257362D"/>
    <w:rsid w:val="346051D7"/>
    <w:rsid w:val="36AC4B0D"/>
    <w:rsid w:val="373561AE"/>
    <w:rsid w:val="37C404E8"/>
    <w:rsid w:val="389A2654"/>
    <w:rsid w:val="3A7C5D33"/>
    <w:rsid w:val="3C775C32"/>
    <w:rsid w:val="3D09729A"/>
    <w:rsid w:val="3E0553DD"/>
    <w:rsid w:val="416F3BBA"/>
    <w:rsid w:val="41B757E4"/>
    <w:rsid w:val="45107462"/>
    <w:rsid w:val="4909382F"/>
    <w:rsid w:val="4A0F76E1"/>
    <w:rsid w:val="4BDD4A5C"/>
    <w:rsid w:val="4C5F411E"/>
    <w:rsid w:val="4E021AA4"/>
    <w:rsid w:val="51DE66E9"/>
    <w:rsid w:val="56234882"/>
    <w:rsid w:val="58FE018C"/>
    <w:rsid w:val="5D9766D9"/>
    <w:rsid w:val="5E822169"/>
    <w:rsid w:val="665D2676"/>
    <w:rsid w:val="6828339F"/>
    <w:rsid w:val="6C447908"/>
    <w:rsid w:val="711165F5"/>
    <w:rsid w:val="71274D0B"/>
    <w:rsid w:val="765B5EE0"/>
    <w:rsid w:val="77023862"/>
    <w:rsid w:val="77825766"/>
    <w:rsid w:val="794B33B9"/>
    <w:rsid w:val="796300E3"/>
    <w:rsid w:val="79ED441B"/>
    <w:rsid w:val="7CE34F16"/>
    <w:rsid w:val="7FA66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widowControl w:val="0"/>
      <w:spacing w:line="520" w:lineRule="exact"/>
      <w:ind w:firstLine="200" w:firstLineChars="200"/>
    </w:pPr>
    <w:rPr>
      <w:rFonts w:eastAsia="宋体" w:asciiTheme="minorHAnsi" w:hAnsiTheme="minorHAnsi" w:cstheme="minorBidi"/>
      <w:kern w:val="2"/>
      <w:sz w:val="28"/>
      <w:szCs w:val="21"/>
    </w:rPr>
  </w:style>
  <w:style w:type="paragraph" w:styleId="3">
    <w:name w:val="Body Text"/>
    <w:basedOn w:val="1"/>
    <w:next w:val="1"/>
    <w:qFormat/>
    <w:uiPriority w:val="0"/>
    <w:pPr>
      <w:spacing w:after="120" w:afterLines="0"/>
    </w:pPr>
  </w:style>
  <w:style w:type="paragraph" w:styleId="4">
    <w:name w:val="Body Text Indent"/>
    <w:basedOn w:val="1"/>
    <w:qFormat/>
    <w:uiPriority w:val="0"/>
    <w:pPr>
      <w:ind w:firstLine="830" w:firstLineChars="352"/>
    </w:pPr>
    <w:rPr>
      <w:rFonts w:ascii="仿宋_GB2312" w:eastAsia="仿宋_GB2312"/>
      <w:sz w:val="32"/>
      <w:szCs w:val="20"/>
    </w:rPr>
  </w:style>
  <w:style w:type="paragraph" w:styleId="5">
    <w:name w:val="footer"/>
    <w:basedOn w:val="1"/>
    <w:unhideWhenUsed/>
    <w:qFormat/>
    <w:uiPriority w:val="99"/>
    <w:pPr>
      <w:tabs>
        <w:tab w:val="center" w:pos="4153"/>
        <w:tab w:val="right" w:pos="8306"/>
      </w:tabs>
      <w:snapToGrid w:val="0"/>
    </w:pPr>
    <w:rPr>
      <w:sz w:val="18"/>
      <w:szCs w:val="18"/>
    </w:rPr>
  </w:style>
  <w:style w:type="paragraph" w:styleId="6">
    <w:name w:val="Body Text First Indent"/>
    <w:basedOn w:val="3"/>
    <w:unhideWhenUsed/>
    <w:qFormat/>
    <w:uiPriority w:val="99"/>
    <w:pPr>
      <w:ind w:firstLine="420" w:firstLineChars="100"/>
    </w:pPr>
  </w:style>
  <w:style w:type="paragraph" w:styleId="7">
    <w:name w:val="Body Text First Indent 2"/>
    <w:basedOn w:val="4"/>
    <w:qFormat/>
    <w:uiPriority w:val="0"/>
    <w:pPr>
      <w:ind w:firstLine="420"/>
    </w:pPr>
    <w:rPr>
      <w:rFonts w:ascii="Times New Roman" w:hAnsi="Times New Roman" w:cs="Times New Roman"/>
    </w:rPr>
  </w:style>
  <w:style w:type="table" w:styleId="9">
    <w:name w:val="Table Grid"/>
    <w:basedOn w:val="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rPr>
  </w:style>
  <w:style w:type="paragraph" w:customStyle="1" w:styleId="12">
    <w:name w:val="正文正"/>
    <w:basedOn w:val="1"/>
    <w:qFormat/>
    <w:uiPriority w:val="99"/>
    <w:pPr>
      <w:spacing w:line="560" w:lineRule="exact"/>
      <w:ind w:firstLine="561"/>
    </w:pPr>
    <w:rPr>
      <w:sz w:val="28"/>
    </w:rPr>
  </w:style>
  <w:style w:type="paragraph" w:customStyle="1" w:styleId="13">
    <w:name w:val="首行缩进"/>
    <w:basedOn w:val="1"/>
    <w:qFormat/>
    <w:uiPriority w:val="0"/>
    <w:pPr>
      <w:spacing w:line="360" w:lineRule="auto"/>
      <w:ind w:firstLine="480" w:firstLineChars="200"/>
    </w:pPr>
    <w:rPr>
      <w:sz w:val="24"/>
      <w:lang w:val="zh-CN"/>
    </w:rPr>
  </w:style>
  <w:style w:type="paragraph" w:customStyle="1" w:styleId="14">
    <w:name w:val="Body text|1"/>
    <w:basedOn w:val="1"/>
    <w:qFormat/>
    <w:uiPriority w:val="0"/>
    <w:pPr>
      <w:widowControl w:val="0"/>
      <w:shd w:val="clear" w:color="auto" w:fill="auto"/>
      <w:spacing w:line="290" w:lineRule="auto"/>
      <w:ind w:firstLine="60"/>
    </w:pPr>
    <w:rPr>
      <w:rFonts w:ascii="宋体" w:hAnsi="宋体" w:eastAsia="宋体" w:cs="宋体"/>
      <w:sz w:val="20"/>
      <w:szCs w:val="20"/>
      <w:u w:val="none"/>
      <w:shd w:val="clear" w:color="auto" w:fill="FFFFFF"/>
      <w:lang w:val="zh-TW" w:eastAsia="zh-TW" w:bidi="zh-TW"/>
    </w:rPr>
  </w:style>
  <w:style w:type="character" w:customStyle="1" w:styleId="15">
    <w:name w:val="本文正文 Char1 Char Char Char Char Char Char Char Char Char Char Char Char Char Char Char Char Char Char Char Char Char Char Char Char Char Char"/>
    <w:link w:val="16"/>
    <w:qFormat/>
    <w:uiPriority w:val="0"/>
    <w:rPr>
      <w:rFonts w:ascii="宋体" w:hAnsi="宋体" w:cstheme="minorBidi"/>
      <w:kern w:val="2"/>
      <w:sz w:val="24"/>
      <w:szCs w:val="24"/>
    </w:rPr>
  </w:style>
  <w:style w:type="paragraph" w:customStyle="1" w:styleId="16">
    <w:name w:val="本文正文 Char1 Char Char Char Char Char Char Char Char Char Char Char Char Char Char Char Char Char Char Char Char Char Char Char Char"/>
    <w:basedOn w:val="1"/>
    <w:link w:val="15"/>
    <w:qFormat/>
    <w:uiPriority w:val="0"/>
    <w:pPr>
      <w:spacing w:line="480" w:lineRule="exact"/>
      <w:ind w:firstLine="200" w:firstLineChars="200"/>
    </w:pPr>
    <w:rPr>
      <w:rFonts w:ascii="宋体" w:hAnsi="宋体" w:cstheme="minorBidi"/>
      <w:kern w:val="2"/>
      <w:sz w:val="24"/>
      <w:szCs w:val="24"/>
    </w:rPr>
  </w:style>
  <w:style w:type="paragraph" w:customStyle="1" w:styleId="17">
    <w:name w:val="null3"/>
    <w:hidden/>
    <w:qFormat/>
    <w:uiPriority w:val="0"/>
    <w:rPr>
      <w:rFonts w:hint="eastAsia" w:asciiTheme="minorHAnsi" w:hAnsiTheme="minorHAnsi" w:eastAsiaTheme="minorEastAsia" w:cstheme="minorBidi"/>
      <w:lang w:val="en-US" w:eastAsia="zh-Hans" w:bidi="ar-SA"/>
    </w:rPr>
  </w:style>
  <w:style w:type="paragraph" w:styleId="1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1068</Words>
  <Characters>1090</Characters>
  <Lines>0</Lines>
  <Paragraphs>0</Paragraphs>
  <TotalTime>0</TotalTime>
  <ScaleCrop>false</ScaleCrop>
  <LinksUpToDate>false</LinksUpToDate>
  <CharactersWithSpaces>1140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2023-02-28T01:50:00Z</dcterms:created>
  <dc:creator>Administrator</dc:creator>
  <cp:lastModifiedBy>c1</cp:lastModifiedBy>
  <dcterms:modified xsi:type="dcterms:W3CDTF">2026-09-22T08:28:01Z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0E17BB260CA3412A897A2D578A542B39</vt:lpwstr>
  </property>
  <property fmtid="{D5CDD505-2E9C-101B-9397-08002B2CF9AE}" pid="4" name="KSOTemplateDocerSaveRecord">
    <vt:lpwstr>eyJoZGlkIjoiNDAwNmFlMmRlYWIxMjRlYmE4OTEyNDkwYzllZGE5MjQiLCJ1c2VySWQiOiIyMjc4MjExMDMifQ==</vt:lpwstr>
  </property>
</Properties>
</file>